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w:t>
      </w:r>
      <w:r>
        <w:rPr>
          <w:rFonts w:hint="eastAsia" w:ascii="Arial" w:hAnsi="Arial" w:cs="Arial"/>
          <w:b/>
          <w:sz w:val="24"/>
          <w:szCs w:val="24"/>
          <w:lang w:val="en-US" w:eastAsia="zh-CN"/>
        </w:rPr>
        <w:t>7</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R4-230841</w:t>
      </w:r>
      <w:r>
        <w:rPr>
          <w:rFonts w:hint="eastAsia" w:ascii="Arial" w:hAnsi="Arial" w:cs="Arial"/>
          <w:b/>
          <w:color w:val="auto"/>
          <w:sz w:val="24"/>
          <w:szCs w:val="24"/>
          <w:lang w:val="en-US" w:eastAsia="zh-CN"/>
        </w:rPr>
        <w:t>9</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ascii="Arial" w:hAnsi="Arial" w:eastAsia="宋体" w:cs="Arial"/>
          <w:b/>
          <w:sz w:val="24"/>
          <w:szCs w:val="24"/>
          <w:lang w:eastAsia="zh-CN"/>
        </w:rPr>
        <w:t>Incheon, KR, May 22 – May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UE demodulation</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w:t>
      </w:r>
      <w:r>
        <w:rPr>
          <w:rStyle w:val="59"/>
          <w:rFonts w:hint="eastAsia"/>
          <w:b/>
          <w:color w:val="auto"/>
        </w:rPr>
        <w:t>.</w:t>
      </w:r>
      <w:r>
        <w:rPr>
          <w:rStyle w:val="59"/>
          <w:rFonts w:hint="eastAsia"/>
          <w:b/>
          <w:color w:val="auto"/>
          <w:lang w:val="en-US" w:eastAsia="zh-CN"/>
        </w:rPr>
        <w:t>14</w:t>
      </w:r>
      <w:r>
        <w:rPr>
          <w:rStyle w:val="59"/>
          <w:rFonts w:hint="eastAsia"/>
          <w:b/>
          <w:color w:val="auto"/>
        </w:rPr>
        <w:t>.</w:t>
      </w:r>
      <w:r>
        <w:rPr>
          <w:rStyle w:val="59"/>
          <w:rFonts w:hint="eastAsia"/>
          <w:b/>
          <w:color w:val="auto"/>
          <w:lang w:val="en-US" w:eastAsia="zh-CN"/>
        </w:rPr>
        <w:t>5.2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eastAsia"/>
          <w:lang w:val="en-US" w:eastAsia="zh-CN"/>
        </w:rPr>
      </w:pPr>
      <w:r>
        <w:rPr>
          <w:rFonts w:hint="eastAsia"/>
          <w:lang w:val="en-US" w:eastAsia="zh-CN"/>
        </w:rPr>
        <w:t>In RAN#96e meeting</w:t>
      </w:r>
      <w:r>
        <w:rPr>
          <w:rFonts w:hint="eastAsia"/>
          <w:vertAlign w:val="superscript"/>
          <w:lang w:val="en-US" w:eastAsia="zh-CN"/>
        </w:rPr>
        <w:t>[1]</w:t>
      </w:r>
      <w:r>
        <w:rPr>
          <w:rFonts w:hint="eastAsia"/>
          <w:lang w:val="en-US" w:eastAsia="zh-CN"/>
        </w:rPr>
        <w:t xml:space="preserve">, the revised work item on Air-to-ground network for NR was approved as one of Rel-18 RAN4 package. </w:t>
      </w:r>
    </w:p>
    <w:p>
      <w:pPr>
        <w:spacing w:after="120"/>
        <w:rPr>
          <w:rFonts w:hint="default" w:cs="Times New Roman"/>
          <w:lang w:val="en-US" w:eastAsia="zh-CN"/>
        </w:rPr>
      </w:pPr>
      <w:r>
        <w:rPr>
          <w:rFonts w:hint="eastAsia"/>
          <w:lang w:val="en-US" w:eastAsia="zh-CN"/>
        </w:rPr>
        <w:t>During the last RAN4 meeting, some conclusions which need further for ATG DL demodulation</w:t>
      </w:r>
      <w:r>
        <w:rPr>
          <w:rFonts w:hint="eastAsia" w:cs="Times New Roman"/>
          <w:lang w:val="en-US" w:eastAsia="zh-CN"/>
        </w:rPr>
        <w:t xml:space="preserve"> are listed below</w:t>
      </w:r>
      <w:r>
        <w:rPr>
          <w:rFonts w:hint="eastAsia" w:cs="Times New Roman"/>
          <w:vertAlign w:val="superscript"/>
          <w:lang w:val="en-US" w:eastAsia="zh-CN"/>
        </w:rPr>
        <w:t>[2]</w:t>
      </w:r>
      <w:r>
        <w:rPr>
          <w:rFonts w:hint="eastAsia" w:cs="Times New Roman"/>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Malgun Gothic"/>
                <w:b/>
                <w:sz w:val="21"/>
                <w:szCs w:val="21"/>
                <w:u w:val="single"/>
                <w:lang w:eastAsia="ko-KR"/>
              </w:rPr>
            </w:pPr>
            <w:r>
              <w:rPr>
                <w:b/>
                <w:sz w:val="21"/>
                <w:szCs w:val="21"/>
                <w:u w:val="single"/>
                <w:lang w:eastAsia="ko-KR"/>
              </w:rPr>
              <w:t>Issue 2-1: Test scope</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FFS For PDSCH:</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1: Introduce PDSCH requirements with AWGN+Doppler channel model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2: FFS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Decide whether to introduce new PDSCH requirements after channel model and other parameters (e.g., bandwidth, TDD pattern and so on) are agreed.</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 xml:space="preserve">If no new PDSCH requirements for ATG, further decide which </w:t>
            </w:r>
            <w:r>
              <w:rPr>
                <w:rFonts w:eastAsia="Yu Mincho"/>
                <w:sz w:val="21"/>
                <w:szCs w:val="21"/>
              </w:rPr>
              <w:t>legacy PDSCH requirements shall be applied for ATG UE.</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 xml:space="preserve"> FFS For PDCCH:</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1: Introduce PDCCH requirements with AWGN+Doppler channel model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2: N</w:t>
            </w:r>
            <w:r>
              <w:rPr>
                <w:rFonts w:eastAsiaTheme="minorEastAsia"/>
                <w:sz w:val="21"/>
                <w:szCs w:val="21"/>
              </w:rPr>
              <w:t xml:space="preserve">o need to introduce additional PDCCH requirements. But the legacy PDCCH mandatory requirements shall be met.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3: FFS </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Decide whether to introduce new PDCCH requirements after channel model is agreed.</w:t>
            </w:r>
          </w:p>
          <w:p>
            <w:pPr>
              <w:pStyle w:val="32"/>
              <w:numPr>
                <w:ilvl w:val="2"/>
                <w:numId w:val="7"/>
              </w:numPr>
              <w:overflowPunct w:val="0"/>
              <w:autoSpaceDE w:val="0"/>
              <w:autoSpaceDN w:val="0"/>
              <w:adjustRightInd w:val="0"/>
              <w:spacing w:after="120"/>
              <w:ind w:left="2652" w:firstLineChars="0"/>
              <w:textAlignment w:val="baseline"/>
              <w:rPr>
                <w:rFonts w:eastAsia="宋体"/>
                <w:sz w:val="21"/>
                <w:szCs w:val="21"/>
              </w:rPr>
            </w:pPr>
            <w:r>
              <w:rPr>
                <w:rFonts w:eastAsia="宋体"/>
                <w:sz w:val="21"/>
                <w:szCs w:val="21"/>
              </w:rPr>
              <w:t xml:space="preserve">If no new PDCCH requirements for ATG, whether and which </w:t>
            </w:r>
            <w:r>
              <w:rPr>
                <w:rFonts w:eastAsia="Yu Mincho"/>
                <w:sz w:val="21"/>
                <w:szCs w:val="21"/>
              </w:rPr>
              <w:t xml:space="preserve">legacy PDCCH requirements shall be applied for ATG UE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For CSI reporting:</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Do not define new CSI reporting requirements for ATG UE.</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hint="eastAsia" w:eastAsia="宋体"/>
                <w:sz w:val="21"/>
                <w:szCs w:val="21"/>
              </w:rPr>
              <w:t>F</w:t>
            </w:r>
            <w:r>
              <w:rPr>
                <w:rFonts w:eastAsia="宋体"/>
                <w:sz w:val="21"/>
                <w:szCs w:val="21"/>
              </w:rPr>
              <w:t>FS</w:t>
            </w:r>
          </w:p>
          <w:p>
            <w:pPr>
              <w:pStyle w:val="32"/>
              <w:numPr>
                <w:ilvl w:val="2"/>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 xml:space="preserve">Option 1: </w:t>
            </w:r>
            <w:r>
              <w:rPr>
                <w:rFonts w:eastAsiaTheme="minorEastAsia"/>
                <w:sz w:val="21"/>
                <w:szCs w:val="21"/>
              </w:rPr>
              <w:t>legacy CSI reporting requirements shall be met.</w:t>
            </w:r>
          </w:p>
          <w:p>
            <w:pPr>
              <w:pStyle w:val="32"/>
              <w:numPr>
                <w:ilvl w:val="2"/>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O</w:t>
            </w:r>
            <w:r>
              <w:rPr>
                <w:rFonts w:hint="eastAsia" w:eastAsia="宋体"/>
                <w:sz w:val="21"/>
                <w:szCs w:val="21"/>
              </w:rPr>
              <w:t>ption</w:t>
            </w:r>
            <w:r>
              <w:rPr>
                <w:rFonts w:eastAsia="宋体"/>
                <w:sz w:val="21"/>
                <w:szCs w:val="21"/>
              </w:rPr>
              <w:t xml:space="preserve"> 2: FFS whether and which legacy UE CSI reporting requirements shall be applied for ATG UE.</w:t>
            </w:r>
          </w:p>
          <w:p>
            <w:pPr>
              <w:overflowPunct w:val="0"/>
              <w:autoSpaceDE w:val="0"/>
              <w:autoSpaceDN w:val="0"/>
              <w:adjustRightInd w:val="0"/>
              <w:spacing w:after="120"/>
              <w:textAlignment w:val="baseline"/>
              <w:rPr>
                <w:rFonts w:eastAsia="宋体"/>
                <w:b/>
                <w:bCs/>
                <w:sz w:val="21"/>
                <w:szCs w:val="21"/>
              </w:rPr>
            </w:pPr>
            <w:r>
              <w:rPr>
                <w:rFonts w:eastAsia="宋体"/>
                <w:b/>
                <w:bCs/>
                <w:sz w:val="21"/>
                <w:szCs w:val="21"/>
              </w:rPr>
              <w:t>Tentative agreement:</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hint="eastAsia" w:eastAsia="宋体"/>
                <w:sz w:val="21"/>
                <w:szCs w:val="21"/>
              </w:rPr>
              <w:t>C</w:t>
            </w:r>
            <w:r>
              <w:rPr>
                <w:rFonts w:eastAsia="宋体"/>
                <w:sz w:val="21"/>
                <w:szCs w:val="21"/>
              </w:rPr>
              <w:t>ome back in next meeting.</w:t>
            </w:r>
          </w:p>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2-2: TDD pattern</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 xml:space="preserve">Option 1: Define a new TDD pattern 30D4S6U which </w:t>
            </w:r>
            <w:r>
              <w:rPr>
                <w:rFonts w:eastAsia="宋体"/>
                <w:b/>
                <w:bCs/>
                <w:sz w:val="21"/>
                <w:szCs w:val="21"/>
              </w:rPr>
              <w:t>only applied for ATG scenario</w:t>
            </w:r>
            <w:r>
              <w:rPr>
                <w:rFonts w:eastAsia="宋体"/>
                <w:sz w:val="21"/>
                <w:szCs w:val="21"/>
              </w:rPr>
              <w:t xml:space="preserve">.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Option 2:</w:t>
            </w:r>
            <w:r>
              <w:rPr>
                <w:rFonts w:eastAsia="Yu Mincho"/>
                <w:sz w:val="21"/>
                <w:szCs w:val="21"/>
              </w:rPr>
              <w:t xml:space="preserve"> Proceed with typical TDD pattern for requirement, further check the performance if the new TDD pattern is agreed to be introduced</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Yu Mincho"/>
                <w:sz w:val="21"/>
                <w:szCs w:val="21"/>
              </w:rPr>
              <w:t>RF, RRM and Demod sessions should keep the consistency on the agreement for the necessary of new TDD pattern for ATG scenario.</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Yu Mincho"/>
                <w:sz w:val="21"/>
                <w:szCs w:val="21"/>
              </w:rPr>
              <w:t>Start with FDD requirement configuration if companies cannot get consensus on TDD pattern issue easily</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 xml:space="preserve">Option 3: If new dedicated TDD pattern is considered, note should be added in the specification that this is pattern is for ATG scenario used only. </w:t>
            </w:r>
          </w:p>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2-3: Bandwidth &amp; SCS</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For TDD:</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1: 40MHz for TDD 30kHz. </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 xml:space="preserve">Option 2: 100MHz for TDD 30kHz.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For FDD:</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1: 20Mhz for FDD 15kHz</w:t>
            </w:r>
          </w:p>
          <w:p>
            <w:pPr>
              <w:pStyle w:val="32"/>
              <w:numPr>
                <w:ilvl w:val="1"/>
                <w:numId w:val="7"/>
              </w:numPr>
              <w:overflowPunct w:val="0"/>
              <w:autoSpaceDE w:val="0"/>
              <w:autoSpaceDN w:val="0"/>
              <w:adjustRightInd w:val="0"/>
              <w:spacing w:after="120"/>
              <w:ind w:left="1932" w:firstLineChars="0"/>
              <w:textAlignment w:val="baseline"/>
              <w:rPr>
                <w:rFonts w:eastAsia="宋体"/>
                <w:sz w:val="21"/>
                <w:szCs w:val="21"/>
              </w:rPr>
            </w:pPr>
            <w:r>
              <w:rPr>
                <w:rFonts w:eastAsia="宋体"/>
                <w:sz w:val="21"/>
                <w:szCs w:val="21"/>
              </w:rPr>
              <w:t>Option 2: 10MHz for FDD 15kHz</w:t>
            </w:r>
          </w:p>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2-4: Antenna Configuration</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2T2R</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FFS:</w:t>
            </w:r>
          </w:p>
          <w:p>
            <w:pPr>
              <w:pStyle w:val="32"/>
              <w:numPr>
                <w:ilvl w:val="1"/>
                <w:numId w:val="7"/>
              </w:numPr>
              <w:overflowPunct w:val="0"/>
              <w:autoSpaceDE w:val="0"/>
              <w:autoSpaceDN w:val="0"/>
              <w:adjustRightInd w:val="0"/>
              <w:spacing w:after="180"/>
              <w:ind w:left="1932" w:firstLineChars="0"/>
              <w:textAlignment w:val="baseline"/>
              <w:rPr>
                <w:rFonts w:eastAsia="宋体"/>
                <w:sz w:val="21"/>
                <w:szCs w:val="21"/>
              </w:rPr>
            </w:pPr>
            <w:r>
              <w:rPr>
                <w:rFonts w:eastAsia="宋体"/>
                <w:sz w:val="21"/>
                <w:szCs w:val="21"/>
              </w:rPr>
              <w:t xml:space="preserve">2T4R (for UE supporting 4R) </w:t>
            </w:r>
          </w:p>
          <w:p>
            <w:pPr>
              <w:pStyle w:val="32"/>
              <w:numPr>
                <w:ilvl w:val="1"/>
                <w:numId w:val="7"/>
              </w:numPr>
              <w:overflowPunct w:val="0"/>
              <w:autoSpaceDE w:val="0"/>
              <w:autoSpaceDN w:val="0"/>
              <w:adjustRightInd w:val="0"/>
              <w:spacing w:after="180"/>
              <w:ind w:left="1932" w:firstLineChars="0"/>
              <w:textAlignment w:val="baseline"/>
              <w:rPr>
                <w:rFonts w:eastAsia="宋体"/>
                <w:sz w:val="21"/>
                <w:szCs w:val="21"/>
              </w:rPr>
            </w:pPr>
            <w:r>
              <w:rPr>
                <w:rFonts w:eastAsia="宋体"/>
                <w:sz w:val="21"/>
                <w:szCs w:val="21"/>
              </w:rPr>
              <w:t>4T4R (for UE supporting 4R)</w:t>
            </w:r>
          </w:p>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2-5: MCS&amp;Rank</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 xml:space="preserve">Cover rank 1, </w:t>
            </w:r>
            <w:r>
              <w:rPr>
                <w:rFonts w:eastAsia="Yu Mincho"/>
                <w:sz w:val="21"/>
                <w:szCs w:val="21"/>
              </w:rPr>
              <w:t>16QAM and 64QAM</w:t>
            </w:r>
            <w:r>
              <w:rPr>
                <w:rFonts w:eastAsia="宋体"/>
                <w:sz w:val="21"/>
                <w:szCs w:val="21"/>
              </w:rPr>
              <w:t xml:space="preserve"> </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rPr>
            </w:pPr>
            <w:r>
              <w:rPr>
                <w:rFonts w:eastAsia="宋体"/>
                <w:sz w:val="21"/>
                <w:szCs w:val="21"/>
              </w:rPr>
              <w:t xml:space="preserve">FFS: Whether to cover 256 QAM </w:t>
            </w:r>
          </w:p>
          <w:p>
            <w:pPr>
              <w:pStyle w:val="32"/>
              <w:numPr>
                <w:ilvl w:val="0"/>
                <w:numId w:val="7"/>
              </w:numPr>
              <w:overflowPunct w:val="0"/>
              <w:autoSpaceDE w:val="0"/>
              <w:autoSpaceDN w:val="0"/>
              <w:adjustRightInd w:val="0"/>
              <w:spacing w:after="120"/>
              <w:ind w:firstLineChars="0"/>
              <w:textAlignment w:val="baseline"/>
              <w:rPr>
                <w:rFonts w:eastAsia="宋体"/>
                <w:sz w:val="21"/>
                <w:szCs w:val="21"/>
              </w:rPr>
            </w:pPr>
            <w:r>
              <w:rPr>
                <w:rFonts w:hint="eastAsia" w:eastAsia="宋体"/>
                <w:sz w:val="21"/>
                <w:szCs w:val="21"/>
              </w:rPr>
              <w:t>C</w:t>
            </w:r>
            <w:r>
              <w:rPr>
                <w:rFonts w:eastAsia="宋体"/>
                <w:sz w:val="21"/>
                <w:szCs w:val="21"/>
              </w:rPr>
              <w:t>ompanies are encouraged to bring simulation results in next meeting.</w:t>
            </w:r>
          </w:p>
          <w:p>
            <w:pPr>
              <w:overflowPunct w:val="0"/>
              <w:autoSpaceDE w:val="0"/>
              <w:autoSpaceDN w:val="0"/>
              <w:adjustRightInd w:val="0"/>
              <w:spacing w:after="180"/>
              <w:textAlignment w:val="baseline"/>
              <w:rPr>
                <w:b/>
                <w:sz w:val="21"/>
                <w:szCs w:val="21"/>
                <w:u w:val="single"/>
                <w:vertAlign w:val="subscript"/>
                <w:lang w:eastAsia="ko-KR"/>
              </w:rPr>
            </w:pPr>
            <w:r>
              <w:rPr>
                <w:b/>
                <w:sz w:val="21"/>
                <w:szCs w:val="21"/>
                <w:u w:val="single"/>
                <w:lang w:eastAsia="ko-KR"/>
              </w:rPr>
              <w:t>Issue 2-7: k</w:t>
            </w:r>
            <w:r>
              <w:rPr>
                <w:b/>
                <w:sz w:val="21"/>
                <w:szCs w:val="21"/>
                <w:u w:val="single"/>
                <w:vertAlign w:val="subscript"/>
                <w:lang w:eastAsia="ko-KR"/>
              </w:rPr>
              <w:t xml:space="preserve">offset </w:t>
            </w:r>
          </w:p>
          <w:p>
            <w:pPr>
              <w:overflowPunct w:val="0"/>
              <w:autoSpaceDE w:val="0"/>
              <w:autoSpaceDN w:val="0"/>
              <w:adjustRightInd w:val="0"/>
              <w:spacing w:after="180"/>
              <w:textAlignment w:val="baseline"/>
              <w:rPr>
                <w:rFonts w:eastAsia="宋体"/>
                <w:b/>
                <w:sz w:val="21"/>
                <w:szCs w:val="21"/>
                <w:u w:val="single"/>
                <w:vertAlign w:val="subscript"/>
                <w:lang w:val="en-GB" w:eastAsia="ko-KR"/>
              </w:rPr>
            </w:pPr>
            <w:r>
              <w:rPr>
                <w:rFonts w:eastAsiaTheme="minorEastAsia"/>
                <w:b/>
                <w:bCs/>
                <w:iCs/>
                <w:sz w:val="21"/>
                <w:szCs w:val="21"/>
              </w:rPr>
              <w:t>Agreements:</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k</w:t>
            </w:r>
            <w:r>
              <w:rPr>
                <w:rFonts w:eastAsia="宋体"/>
                <w:sz w:val="21"/>
                <w:szCs w:val="21"/>
                <w:vertAlign w:val="subscript"/>
              </w:rPr>
              <w:t>offset</w:t>
            </w:r>
            <w:r>
              <w:rPr>
                <w:rFonts w:eastAsia="宋体"/>
                <w:sz w:val="21"/>
                <w:szCs w:val="21"/>
              </w:rPr>
              <w:t xml:space="preserve"> value 2ms, the unit and value can be revised after RAN2 confirm whether SIB19 can be reused or not.</w:t>
            </w:r>
          </w:p>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2-8: Applicability rule</w:t>
            </w:r>
          </w:p>
          <w:p>
            <w:pPr>
              <w:pStyle w:val="32"/>
              <w:numPr>
                <w:ilvl w:val="1"/>
                <w:numId w:val="7"/>
              </w:numPr>
              <w:overflowPunct w:val="0"/>
              <w:autoSpaceDE w:val="0"/>
              <w:autoSpaceDN w:val="0"/>
              <w:adjustRightInd w:val="0"/>
              <w:spacing w:after="120"/>
              <w:ind w:left="1440" w:firstLineChars="0"/>
              <w:textAlignment w:val="baseline"/>
              <w:rPr>
                <w:rFonts w:eastAsia="宋体"/>
                <w:sz w:val="21"/>
                <w:szCs w:val="21"/>
                <w:lang w:val="en-GB"/>
              </w:rPr>
            </w:pPr>
            <w:r>
              <w:rPr>
                <w:rFonts w:eastAsia="宋体"/>
                <w:sz w:val="21"/>
                <w:szCs w:val="21"/>
              </w:rPr>
              <w:t xml:space="preserve">Option 1: </w:t>
            </w:r>
            <w:r>
              <w:rPr>
                <w:rFonts w:eastAsia="Yu Mincho"/>
                <w:sz w:val="21"/>
                <w:szCs w:val="21"/>
              </w:rPr>
              <w:t>RAN4 to further evaluate applicability rules between ATG and NTN UEs only after the scope of ATG UE demodulation is agreed</w:t>
            </w:r>
            <w:r>
              <w:rPr>
                <w:sz w:val="21"/>
                <w:szCs w:val="21"/>
              </w:rPr>
              <w:t xml:space="preserve"> (QC)</w:t>
            </w:r>
          </w:p>
          <w:p>
            <w:pPr>
              <w:pStyle w:val="32"/>
              <w:numPr>
                <w:ilvl w:val="1"/>
                <w:numId w:val="7"/>
              </w:numPr>
              <w:overflowPunct w:val="0"/>
              <w:autoSpaceDE w:val="0"/>
              <w:autoSpaceDN w:val="0"/>
              <w:adjustRightInd w:val="0"/>
              <w:spacing w:after="120"/>
              <w:ind w:left="1440" w:firstLineChars="0"/>
              <w:textAlignment w:val="baseline"/>
              <w:rPr>
                <w:rFonts w:eastAsia="宋体"/>
                <w:sz w:val="21"/>
                <w:szCs w:val="21"/>
              </w:rPr>
            </w:pPr>
            <w:r>
              <w:rPr>
                <w:rFonts w:eastAsiaTheme="minorEastAsia"/>
                <w:sz w:val="21"/>
                <w:szCs w:val="21"/>
              </w:rPr>
              <w:t>Option 2: Applicability rule can be defined that if UE supporting both NTN and ATG feature has passed the NTN performance requirements, then it can skip ATG cases with the same MCS and rank configurations. (HW)</w:t>
            </w:r>
          </w:p>
          <w:p>
            <w:pPr>
              <w:pStyle w:val="32"/>
              <w:numPr>
                <w:ilvl w:val="1"/>
                <w:numId w:val="7"/>
              </w:numPr>
              <w:overflowPunct w:val="0"/>
              <w:autoSpaceDE w:val="0"/>
              <w:autoSpaceDN w:val="0"/>
              <w:adjustRightInd w:val="0"/>
              <w:spacing w:after="120"/>
              <w:ind w:left="1440" w:firstLineChars="0"/>
              <w:textAlignment w:val="baseline"/>
              <w:rPr>
                <w:rFonts w:eastAsia="宋体"/>
                <w:sz w:val="21"/>
                <w:szCs w:val="21"/>
              </w:rPr>
            </w:pPr>
            <w:r>
              <w:rPr>
                <w:rFonts w:eastAsiaTheme="minorEastAsia"/>
                <w:sz w:val="21"/>
                <w:szCs w:val="21"/>
              </w:rPr>
              <w:t>Option 3: Needed to have the applicability rule. Introducing a new UE feature is preferable so that we can easily define the applicability rule if we are going to define new ATG requirements into the TS38.101-4. (Ericsson)</w:t>
            </w:r>
          </w:p>
          <w:p>
            <w:pPr>
              <w:overflowPunct w:val="0"/>
              <w:autoSpaceDE w:val="0"/>
              <w:autoSpaceDN w:val="0"/>
              <w:adjustRightInd w:val="0"/>
              <w:spacing w:after="180"/>
              <w:textAlignment w:val="baseline"/>
              <w:rPr>
                <w:rFonts w:eastAsiaTheme="minorEastAsia"/>
                <w:b/>
                <w:bCs/>
                <w:iCs/>
                <w:sz w:val="21"/>
                <w:szCs w:val="21"/>
              </w:rPr>
            </w:pPr>
            <w:r>
              <w:rPr>
                <w:rFonts w:eastAsiaTheme="minorEastAsia"/>
                <w:b/>
                <w:bCs/>
                <w:iCs/>
                <w:sz w:val="21"/>
                <w:szCs w:val="21"/>
              </w:rPr>
              <w:t>Tentative agreements:</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Further discuss the applicability rule after channel model, test scope and test parameters are converged.</w:t>
            </w:r>
          </w:p>
          <w:p>
            <w:pPr>
              <w:overflowPunct w:val="0"/>
              <w:autoSpaceDE w:val="0"/>
              <w:autoSpaceDN w:val="0"/>
              <w:adjustRightInd w:val="0"/>
              <w:spacing w:after="180"/>
              <w:textAlignment w:val="baseline"/>
              <w:rPr>
                <w:rFonts w:eastAsia="宋体"/>
                <w:b/>
                <w:sz w:val="21"/>
                <w:szCs w:val="21"/>
                <w:u w:val="single"/>
                <w:lang w:val="en-GB" w:eastAsia="ko-KR"/>
              </w:rPr>
            </w:pPr>
            <w:r>
              <w:rPr>
                <w:b/>
                <w:sz w:val="21"/>
                <w:szCs w:val="21"/>
                <w:u w:val="single"/>
                <w:lang w:eastAsia="ko-KR"/>
              </w:rPr>
              <w:t>Issue 2-11: PDCCH test parameters</w:t>
            </w:r>
          </w:p>
          <w:p>
            <w:pPr>
              <w:pStyle w:val="32"/>
              <w:numPr>
                <w:ilvl w:val="0"/>
                <w:numId w:val="7"/>
              </w:numPr>
              <w:overflowPunct w:val="0"/>
              <w:autoSpaceDE w:val="0"/>
              <w:autoSpaceDN w:val="0"/>
              <w:adjustRightInd w:val="0"/>
              <w:spacing w:after="120"/>
              <w:ind w:left="1212" w:firstLineChars="0"/>
              <w:textAlignment w:val="baseline"/>
              <w:rPr>
                <w:rFonts w:eastAsia="宋体"/>
                <w:sz w:val="21"/>
                <w:szCs w:val="21"/>
                <w:lang w:val="en-GB"/>
              </w:rPr>
            </w:pPr>
            <w:r>
              <w:rPr>
                <w:rFonts w:eastAsia="宋体"/>
                <w:sz w:val="21"/>
                <w:szCs w:val="21"/>
              </w:rPr>
              <w:t xml:space="preserve">Option 1: </w:t>
            </w:r>
            <w:r>
              <w:rPr>
                <w:rFonts w:eastAsia="Yu Mincho"/>
                <w:sz w:val="21"/>
                <w:szCs w:val="21"/>
              </w:rPr>
              <w:t xml:space="preserve">For simulation assumption, take aggregation level 4 and 8, CORESET duration 1 and 2 symbols as the starting point, and do the further selection according to SNR simulation results. </w:t>
            </w:r>
          </w:p>
          <w:p>
            <w:pPr>
              <w:pStyle w:val="32"/>
              <w:numPr>
                <w:ilvl w:val="1"/>
                <w:numId w:val="7"/>
              </w:numPr>
              <w:overflowPunct w:val="0"/>
              <w:autoSpaceDE w:val="0"/>
              <w:autoSpaceDN w:val="0"/>
              <w:adjustRightInd w:val="0"/>
              <w:spacing w:after="120"/>
              <w:ind w:firstLineChars="0"/>
              <w:textAlignment w:val="baseline"/>
              <w:rPr>
                <w:lang w:val="en-US"/>
              </w:rPr>
            </w:pPr>
            <w:r>
              <w:rPr>
                <w:rFonts w:hint="eastAsia" w:eastAsiaTheme="minorEastAsia"/>
                <w:sz w:val="21"/>
                <w:szCs w:val="21"/>
                <w:lang w:val="en-GB"/>
              </w:rPr>
              <w:t>O</w:t>
            </w:r>
            <w:r>
              <w:rPr>
                <w:rFonts w:eastAsiaTheme="minorEastAsia"/>
                <w:sz w:val="21"/>
                <w:szCs w:val="21"/>
                <w:lang w:val="en-GB"/>
              </w:rPr>
              <w:t>ption 2: FFS</w:t>
            </w:r>
          </w:p>
        </w:tc>
      </w:tr>
    </w:tbl>
    <w:p>
      <w:pPr>
        <w:widowControl w:val="0"/>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 xml:space="preserve">This contribution shares our views for the issues above. </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eastAsia"/>
          <w:lang w:val="en-US" w:eastAsia="zh-CN"/>
        </w:rPr>
      </w:pPr>
      <w:bookmarkStart w:id="4" w:name="OLE_LINK41"/>
      <w:bookmarkStart w:id="5" w:name="OLE_LINK6"/>
      <w:bookmarkStart w:id="6" w:name="OLE_LINK23"/>
      <w:bookmarkStart w:id="7" w:name="OLE_LINK66"/>
      <w:r>
        <w:rPr>
          <w:rFonts w:hint="eastAsia"/>
          <w:lang w:val="en-US" w:eastAsia="zh-CN"/>
        </w:rPr>
        <w:t>With regard to TDD pattern, 30D4S6U was proposed by companies in previous meeting and one concern about this TDD pattern is the number of HARQ process as 30 consecutive DL slot in one period.</w:t>
      </w:r>
    </w:p>
    <w:p>
      <w:pPr>
        <w:pStyle w:val="62"/>
        <w:keepLines w:val="0"/>
        <w:widowControl w:val="0"/>
        <w:spacing w:before="120" w:after="120"/>
        <w:ind w:left="0" w:firstLine="0"/>
        <w:rPr>
          <w:rFonts w:hint="default"/>
          <w:lang w:val="en-US" w:eastAsia="zh-CN"/>
        </w:rPr>
      </w:pPr>
      <w:r>
        <w:rPr>
          <w:rFonts w:hint="eastAsia"/>
          <w:lang w:val="en-US" w:eastAsia="zh-CN"/>
        </w:rPr>
        <w:t>The following is copied from TS 38.331</w:t>
      </w:r>
      <w:r>
        <w:rPr>
          <w:rFonts w:hint="eastAsia"/>
          <w:vertAlign w:val="superscript"/>
          <w:lang w:val="en-US" w:eastAsia="zh-CN"/>
        </w:rPr>
        <w:t>[3]</w:t>
      </w:r>
      <w:r>
        <w:rPr>
          <w:rFonts w:hint="eastAsia"/>
          <w:lang w:val="en-US" w:eastAsia="zh-CN"/>
        </w:rPr>
        <w:t xml:space="preserve"> which shows that 32 HARQ process can be supported in Rel-17.</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5"/>
              <w:spacing w:after="180"/>
            </w:pPr>
            <w:r>
              <w:t xml:space="preserve">PDSCH-ServingCellConfig ::=             </w:t>
            </w:r>
            <w:r>
              <w:rPr>
                <w:color w:val="993366"/>
              </w:rPr>
              <w:t>SEQUENCE</w:t>
            </w:r>
            <w:r>
              <w:t xml:space="preserve"> {</w:t>
            </w:r>
          </w:p>
          <w:p>
            <w:pPr>
              <w:pStyle w:val="75"/>
              <w:spacing w:after="180"/>
              <w:rPr>
                <w:color w:val="808080"/>
              </w:rPr>
            </w:pPr>
            <w:r>
              <w:t xml:space="preserve">    codeBlockGroupTransmission              SetupRelease { PDSCH-CodeBlockGroupTransmission }              </w:t>
            </w:r>
            <w:r>
              <w:rPr>
                <w:color w:val="993366"/>
              </w:rPr>
              <w:t>OPTIONAL</w:t>
            </w:r>
            <w:r>
              <w:t xml:space="preserve">,   </w:t>
            </w:r>
            <w:r>
              <w:rPr>
                <w:color w:val="808080"/>
              </w:rPr>
              <w:t>-- Need M</w:t>
            </w:r>
          </w:p>
          <w:p>
            <w:pPr>
              <w:pStyle w:val="75"/>
              <w:spacing w:after="180"/>
              <w:rPr>
                <w:color w:val="808080"/>
              </w:rPr>
            </w:pPr>
            <w:r>
              <w:t xml:space="preserve">    xOverhead                               </w:t>
            </w:r>
            <w:r>
              <w:rPr>
                <w:color w:val="993366"/>
              </w:rPr>
              <w:t>ENUMERATED</w:t>
            </w:r>
            <w:r>
              <w:t xml:space="preserve"> { xOh6, xOh12, xOh18 }                              </w:t>
            </w:r>
            <w:r>
              <w:rPr>
                <w:color w:val="993366"/>
              </w:rPr>
              <w:t>OPTIONAL</w:t>
            </w:r>
            <w:r>
              <w:t xml:space="preserve">,   </w:t>
            </w:r>
            <w:r>
              <w:rPr>
                <w:color w:val="808080"/>
              </w:rPr>
              <w:t>-- Need S</w:t>
            </w:r>
          </w:p>
          <w:p>
            <w:pPr>
              <w:pStyle w:val="75"/>
              <w:spacing w:after="180"/>
              <w:rPr>
                <w:color w:val="808080"/>
              </w:rPr>
            </w:pPr>
            <w:r>
              <w:t xml:space="preserve">    nrofHARQ-ProcessesForPDSCH              </w:t>
            </w:r>
            <w:r>
              <w:rPr>
                <w:color w:val="993366"/>
              </w:rPr>
              <w:t>ENUMERATED</w:t>
            </w:r>
            <w:r>
              <w:t xml:space="preserve"> {n2, n4, n6, n10, n12, n16}                         </w:t>
            </w:r>
            <w:r>
              <w:rPr>
                <w:color w:val="993366"/>
              </w:rPr>
              <w:t>OPTIONAL</w:t>
            </w:r>
            <w:r>
              <w:t xml:space="preserve">,   </w:t>
            </w:r>
            <w:r>
              <w:rPr>
                <w:color w:val="808080"/>
              </w:rPr>
              <w:t>-- Need S</w:t>
            </w:r>
          </w:p>
          <w:p>
            <w:pPr>
              <w:pStyle w:val="75"/>
              <w:spacing w:after="180"/>
              <w:rPr>
                <w:color w:val="808080"/>
              </w:rPr>
            </w:pPr>
            <w:r>
              <w:t xml:space="preserve">    pucch-Cell                              ServCellIndex                                                  </w:t>
            </w:r>
            <w:r>
              <w:rPr>
                <w:color w:val="993366"/>
              </w:rPr>
              <w:t>OPTIONAL</w:t>
            </w:r>
            <w:r>
              <w:t xml:space="preserve">,   </w:t>
            </w:r>
            <w:r>
              <w:rPr>
                <w:color w:val="808080"/>
              </w:rPr>
              <w:t>-- Cond SCellAddOnly</w:t>
            </w:r>
          </w:p>
          <w:p>
            <w:pPr>
              <w:pStyle w:val="75"/>
              <w:spacing w:after="180"/>
            </w:pPr>
            <w:r>
              <w:t xml:space="preserve">    ...,</w:t>
            </w:r>
          </w:p>
          <w:p>
            <w:pPr>
              <w:pStyle w:val="75"/>
              <w:spacing w:after="180"/>
            </w:pPr>
            <w:r>
              <w:t xml:space="preserve">    [[</w:t>
            </w:r>
          </w:p>
          <w:p>
            <w:pPr>
              <w:pStyle w:val="75"/>
              <w:spacing w:after="180"/>
              <w:rPr>
                <w:color w:val="808080"/>
              </w:rPr>
            </w:pPr>
            <w:r>
              <w:t xml:space="preserve">    maxMIMO-Layers                          </w:t>
            </w:r>
            <w:r>
              <w:rPr>
                <w:color w:val="993366"/>
              </w:rPr>
              <w:t>INTEGER</w:t>
            </w:r>
            <w:r>
              <w:t xml:space="preserve"> (1..8)                                                 </w:t>
            </w:r>
            <w:r>
              <w:rPr>
                <w:color w:val="993366"/>
              </w:rPr>
              <w:t>OPTIONAL</w:t>
            </w:r>
            <w:r>
              <w:t xml:space="preserve">,   </w:t>
            </w:r>
            <w:r>
              <w:rPr>
                <w:color w:val="808080"/>
              </w:rPr>
              <w:t>-- Need M</w:t>
            </w:r>
          </w:p>
          <w:p>
            <w:pPr>
              <w:pStyle w:val="75"/>
              <w:spacing w:after="180"/>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pPr>
              <w:pStyle w:val="75"/>
              <w:spacing w:after="180"/>
            </w:pPr>
            <w:r>
              <w:t xml:space="preserve">    ]],</w:t>
            </w:r>
          </w:p>
          <w:p>
            <w:pPr>
              <w:pStyle w:val="75"/>
              <w:spacing w:after="180"/>
            </w:pPr>
            <w:r>
              <w:t xml:space="preserve">    [[</w:t>
            </w:r>
          </w:p>
          <w:p>
            <w:pPr>
              <w:pStyle w:val="75"/>
              <w:spacing w:after="180"/>
              <w:rPr>
                <w:color w:val="808080"/>
              </w:rPr>
            </w:pPr>
            <w:r>
              <w:t xml:space="preserve">    pdsch-CodeBlockGroupTransmissionList-r16 SetupRelease { PDSCH-CodeBlockGroupTransmissionList-r16 }     </w:t>
            </w:r>
            <w:r>
              <w:rPr>
                <w:color w:val="993366"/>
              </w:rPr>
              <w:t>OPTIONAL</w:t>
            </w:r>
            <w:r>
              <w:t xml:space="preserve">    </w:t>
            </w:r>
            <w:r>
              <w:rPr>
                <w:color w:val="808080"/>
              </w:rPr>
              <w:t>-- Need M</w:t>
            </w:r>
          </w:p>
          <w:p>
            <w:pPr>
              <w:pStyle w:val="75"/>
              <w:spacing w:after="180"/>
            </w:pPr>
            <w:r>
              <w:t xml:space="preserve">    ]],</w:t>
            </w:r>
          </w:p>
          <w:p>
            <w:pPr>
              <w:pStyle w:val="75"/>
              <w:spacing w:after="180"/>
            </w:pPr>
            <w:r>
              <w:t xml:space="preserve">    [[</w:t>
            </w:r>
          </w:p>
          <w:p>
            <w:pPr>
              <w:pStyle w:val="75"/>
              <w:spacing w:after="180"/>
              <w:rPr>
                <w:color w:val="808080"/>
              </w:rPr>
            </w:pPr>
            <w:r>
              <w:t xml:space="preserve">    downlinkHARQ-FeedbackDisabled-r17       SetupRelease { DownlinkHARQ-FeedbackDisabled-r17 }              </w:t>
            </w:r>
            <w:r>
              <w:rPr>
                <w:color w:val="993366"/>
              </w:rPr>
              <w:t>OPTIONAL</w:t>
            </w:r>
            <w:r>
              <w:t xml:space="preserve">,   </w:t>
            </w:r>
            <w:r>
              <w:rPr>
                <w:color w:val="808080"/>
              </w:rPr>
              <w:t>-- Need M</w:t>
            </w:r>
          </w:p>
          <w:p>
            <w:pPr>
              <w:pStyle w:val="75"/>
              <w:spacing w:after="180"/>
              <w:rPr>
                <w:color w:val="808080"/>
              </w:rPr>
            </w:pPr>
            <w:r>
              <w:t xml:space="preserve">    nrofHARQ-ProcessesForPDSCH-v1700        </w:t>
            </w:r>
            <w:r>
              <w:rPr>
                <w:color w:val="993366"/>
              </w:rPr>
              <w:t>ENUMERATED</w:t>
            </w:r>
            <w:r>
              <w:t xml:space="preserve"> {n32}                                               </w:t>
            </w:r>
            <w:r>
              <w:rPr>
                <w:color w:val="993366"/>
              </w:rPr>
              <w:t>OPTIONAL</w:t>
            </w:r>
            <w:r>
              <w:t xml:space="preserve">    </w:t>
            </w:r>
            <w:r>
              <w:rPr>
                <w:color w:val="808080"/>
              </w:rPr>
              <w:t>-- Need R</w:t>
            </w:r>
          </w:p>
          <w:p>
            <w:pPr>
              <w:pStyle w:val="75"/>
              <w:spacing w:after="180"/>
            </w:pPr>
            <w:r>
              <w:t xml:space="preserve">    ]]</w:t>
            </w:r>
          </w:p>
          <w:p>
            <w:pPr>
              <w:pStyle w:val="75"/>
              <w:spacing w:after="180"/>
              <w:rPr>
                <w:rFonts w:hint="default"/>
                <w:vertAlign w:val="baseline"/>
                <w:lang w:val="en-US" w:eastAsia="zh-CN"/>
              </w:rPr>
            </w:pPr>
            <w:r>
              <w:t>}</w:t>
            </w:r>
          </w:p>
        </w:tc>
      </w:tr>
    </w:tbl>
    <w:p>
      <w:pPr>
        <w:pStyle w:val="62"/>
        <w:keepLines w:val="0"/>
        <w:widowControl w:val="0"/>
        <w:spacing w:before="120" w:after="120"/>
        <w:ind w:left="0" w:firstLine="0"/>
        <w:rPr>
          <w:rFonts w:hint="default"/>
          <w:lang w:val="en-US" w:eastAsia="zh-CN"/>
        </w:rPr>
      </w:pPr>
      <w:r>
        <w:rPr>
          <w:rFonts w:hint="eastAsia"/>
          <w:lang w:val="en-US" w:eastAsia="zh-CN"/>
        </w:rPr>
        <w:t>The following is copied from TS 38.212 v17.5.0</w:t>
      </w:r>
      <w:r>
        <w:rPr>
          <w:rFonts w:hint="eastAsia"/>
          <w:vertAlign w:val="superscript"/>
          <w:lang w:val="en-US" w:eastAsia="zh-CN"/>
        </w:rPr>
        <w:t>[4]</w:t>
      </w:r>
      <w:r>
        <w:rPr>
          <w:rFonts w:hint="eastAsia"/>
          <w:lang w:val="en-US" w:eastAsia="zh-CN"/>
        </w:rPr>
        <w:t xml:space="preserve"> which describe the field of HARQ process number for DCI 1-1.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2"/>
              <w:keepLines w:val="0"/>
              <w:widowControl w:val="0"/>
              <w:overflowPunct w:val="0"/>
              <w:autoSpaceDE w:val="0"/>
              <w:autoSpaceDN w:val="0"/>
              <w:adjustRightInd w:val="0"/>
              <w:spacing w:before="120" w:after="120"/>
              <w:ind w:left="0" w:leftChars="0" w:firstLine="0" w:firstLineChars="0"/>
              <w:textAlignment w:val="baseline"/>
              <w:rPr>
                <w:rFonts w:hint="default"/>
                <w:vertAlign w:val="baseline"/>
                <w:lang w:val="en-US" w:eastAsia="zh-CN"/>
              </w:rPr>
            </w:pPr>
            <w:r>
              <w:t xml:space="preserve">HARQ process number – </w:t>
            </w:r>
            <w:r>
              <w:rPr>
                <w:color w:val="000000" w:themeColor="text1"/>
                <w14:textFill>
                  <w14:solidFill>
                    <w14:schemeClr w14:val="tx1"/>
                  </w14:solidFill>
                </w14:textFill>
              </w:rPr>
              <w:t xml:space="preserve">5 bits if higher layer parameter </w:t>
            </w:r>
            <w:bookmarkStart w:id="8" w:name="OLE_LINK29"/>
            <w:r>
              <w:rPr>
                <w:i/>
                <w:iCs/>
                <w:color w:val="000000" w:themeColor="text1"/>
                <w14:textFill>
                  <w14:solidFill>
                    <w14:schemeClr w14:val="tx1"/>
                  </w14:solidFill>
                </w14:textFill>
              </w:rPr>
              <w:t>harq-ProcessNumberSizeDCI-1-1</w:t>
            </w:r>
            <w:bookmarkEnd w:id="8"/>
            <w:r>
              <w:rPr>
                <w:color w:val="000000" w:themeColor="text1"/>
                <w14:textFill>
                  <w14:solidFill>
                    <w14:schemeClr w14:val="tx1"/>
                  </w14:solidFill>
                </w14:textFill>
              </w:rPr>
              <w:t xml:space="preserve"> is configured; otherwise</w:t>
            </w:r>
            <w:r>
              <w:rPr>
                <w:rFonts w:hint="eastAsia"/>
                <w:lang w:eastAsia="zh-CN"/>
              </w:rPr>
              <w:t xml:space="preserve"> 4</w:t>
            </w:r>
            <w:r>
              <w:t xml:space="preserve"> bits</w:t>
            </w:r>
          </w:p>
        </w:tc>
      </w:tr>
    </w:tbl>
    <w:p>
      <w:pPr>
        <w:pStyle w:val="62"/>
        <w:keepLines w:val="0"/>
        <w:widowControl w:val="0"/>
        <w:spacing w:before="120" w:after="120"/>
        <w:ind w:left="0" w:firstLine="0"/>
        <w:rPr>
          <w:rFonts w:hint="default"/>
          <w:lang w:val="en-US" w:eastAsia="zh-CN"/>
        </w:rPr>
      </w:pPr>
      <w:r>
        <w:rPr>
          <w:rFonts w:hint="eastAsia"/>
          <w:lang w:val="en-US" w:eastAsia="zh-CN"/>
        </w:rPr>
        <w:t>From the above we can find the dynamic scheduling can support 32 HARQ process number.</w:t>
      </w:r>
    </w:p>
    <w:p>
      <w:pPr>
        <w:pStyle w:val="62"/>
        <w:keepLines w:val="0"/>
        <w:widowControl w:val="0"/>
        <w:spacing w:before="120" w:after="120"/>
        <w:ind w:left="0" w:firstLine="0"/>
        <w:rPr>
          <w:rFonts w:hint="default"/>
          <w:lang w:val="en-US" w:eastAsia="zh-CN"/>
        </w:rPr>
      </w:pPr>
      <w:r>
        <w:rPr>
          <w:rFonts w:hint="eastAsia"/>
          <w:lang w:val="en-US" w:eastAsia="zh-CN"/>
        </w:rPr>
        <w:t>The following is copied from TS 38.306</w:t>
      </w:r>
      <w:r>
        <w:rPr>
          <w:rFonts w:hint="eastAsia"/>
          <w:vertAlign w:val="superscript"/>
          <w:lang w:val="en-US" w:eastAsia="zh-CN"/>
        </w:rPr>
        <w:t>[5]</w:t>
      </w:r>
      <w:r>
        <w:rPr>
          <w:rFonts w:hint="eastAsia"/>
          <w:lang w:val="en-US" w:eastAsia="zh-CN"/>
        </w:rPr>
        <w:t xml:space="preserve"> from which we can find that the maximum number of 32 harq processes is related to UE capability, which is defined on specific band.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4"/>
        <w:gridCol w:w="639"/>
        <w:gridCol w:w="461"/>
        <w:gridCol w:w="1116"/>
        <w:gridCol w:w="1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64"/>
              <w:overflowPunct w:val="0"/>
              <w:autoSpaceDE w:val="0"/>
              <w:autoSpaceDN w:val="0"/>
              <w:adjustRightInd w:val="0"/>
              <w:spacing w:after="180"/>
              <w:textAlignment w:val="baseline"/>
              <w:rPr>
                <w:rFonts w:hint="default" w:ascii="Times New Roman" w:hAnsi="Times New Roman" w:eastAsia="宋体" w:cs="Times New Roman"/>
                <w:b/>
                <w:kern w:val="0"/>
                <w:sz w:val="20"/>
                <w:szCs w:val="20"/>
                <w:lang w:val="en-GB" w:eastAsia="en-US" w:bidi="ar-SA"/>
              </w:rPr>
            </w:pPr>
            <w:r>
              <w:rPr>
                <w:rFonts w:hint="default" w:ascii="Times New Roman" w:hAnsi="Times New Roman" w:cs="Times New Roman"/>
                <w:sz w:val="20"/>
                <w:szCs w:val="20"/>
              </w:rPr>
              <w:t>Definitions for parameters</w:t>
            </w:r>
          </w:p>
        </w:tc>
        <w:tc>
          <w:tcPr>
            <w:tcW w:w="0" w:type="auto"/>
            <w:vAlign w:val="top"/>
          </w:tcPr>
          <w:p>
            <w:pPr>
              <w:pStyle w:val="64"/>
              <w:overflowPunct w:val="0"/>
              <w:autoSpaceDE w:val="0"/>
              <w:autoSpaceDN w:val="0"/>
              <w:adjustRightInd w:val="0"/>
              <w:spacing w:after="180"/>
              <w:textAlignment w:val="baseline"/>
              <w:rPr>
                <w:rFonts w:hint="default" w:ascii="Times New Roman" w:hAnsi="Times New Roman" w:eastAsia="宋体" w:cs="Times New Roman"/>
                <w:b/>
                <w:kern w:val="0"/>
                <w:sz w:val="20"/>
                <w:szCs w:val="20"/>
                <w:lang w:val="en-GB" w:eastAsia="en-US" w:bidi="ar-SA"/>
              </w:rPr>
            </w:pPr>
            <w:r>
              <w:rPr>
                <w:rFonts w:hint="default" w:ascii="Times New Roman" w:hAnsi="Times New Roman" w:cs="Times New Roman"/>
                <w:sz w:val="20"/>
                <w:szCs w:val="20"/>
              </w:rPr>
              <w:t>Per</w:t>
            </w:r>
          </w:p>
        </w:tc>
        <w:tc>
          <w:tcPr>
            <w:tcW w:w="0" w:type="auto"/>
            <w:vAlign w:val="top"/>
          </w:tcPr>
          <w:p>
            <w:pPr>
              <w:pStyle w:val="64"/>
              <w:overflowPunct w:val="0"/>
              <w:autoSpaceDE w:val="0"/>
              <w:autoSpaceDN w:val="0"/>
              <w:adjustRightInd w:val="0"/>
              <w:spacing w:after="180"/>
              <w:textAlignment w:val="baseline"/>
              <w:rPr>
                <w:rFonts w:hint="default" w:ascii="Times New Roman" w:hAnsi="Times New Roman" w:eastAsia="宋体" w:cs="Times New Roman"/>
                <w:b/>
                <w:kern w:val="0"/>
                <w:sz w:val="20"/>
                <w:szCs w:val="20"/>
                <w:lang w:val="en-GB" w:eastAsia="en-US" w:bidi="ar-SA"/>
              </w:rPr>
            </w:pPr>
            <w:r>
              <w:rPr>
                <w:rFonts w:hint="default" w:ascii="Times New Roman" w:hAnsi="Times New Roman" w:cs="Times New Roman"/>
                <w:sz w:val="20"/>
                <w:szCs w:val="20"/>
              </w:rPr>
              <w:t>M</w:t>
            </w:r>
          </w:p>
        </w:tc>
        <w:tc>
          <w:tcPr>
            <w:tcW w:w="0" w:type="auto"/>
            <w:vAlign w:val="top"/>
          </w:tcPr>
          <w:p>
            <w:pPr>
              <w:pStyle w:val="64"/>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FDD-TDD</w:t>
            </w:r>
          </w:p>
          <w:p>
            <w:pPr>
              <w:pStyle w:val="64"/>
              <w:overflowPunct w:val="0"/>
              <w:autoSpaceDE w:val="0"/>
              <w:autoSpaceDN w:val="0"/>
              <w:adjustRightInd w:val="0"/>
              <w:spacing w:after="180"/>
              <w:textAlignment w:val="baseline"/>
              <w:rPr>
                <w:rFonts w:hint="default" w:ascii="Times New Roman" w:hAnsi="Times New Roman" w:eastAsia="宋体" w:cs="Times New Roman"/>
                <w:b/>
                <w:kern w:val="0"/>
                <w:sz w:val="20"/>
                <w:szCs w:val="20"/>
                <w:lang w:val="en-GB" w:eastAsia="en-US" w:bidi="ar-SA"/>
              </w:rPr>
            </w:pPr>
            <w:r>
              <w:rPr>
                <w:rFonts w:hint="default" w:ascii="Times New Roman" w:hAnsi="Times New Roman" w:cs="Times New Roman"/>
                <w:sz w:val="20"/>
                <w:szCs w:val="20"/>
              </w:rPr>
              <w:t>DIFF</w:t>
            </w:r>
          </w:p>
        </w:tc>
        <w:tc>
          <w:tcPr>
            <w:tcW w:w="0" w:type="auto"/>
            <w:vAlign w:val="top"/>
          </w:tcPr>
          <w:p>
            <w:pPr>
              <w:pStyle w:val="64"/>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FR1-FR2</w:t>
            </w:r>
          </w:p>
          <w:p>
            <w:pPr>
              <w:pStyle w:val="64"/>
              <w:overflowPunct w:val="0"/>
              <w:autoSpaceDE w:val="0"/>
              <w:autoSpaceDN w:val="0"/>
              <w:adjustRightInd w:val="0"/>
              <w:spacing w:after="180"/>
              <w:textAlignment w:val="baseline"/>
              <w:rPr>
                <w:rFonts w:hint="default" w:ascii="Times New Roman" w:hAnsi="Times New Roman" w:eastAsia="宋体" w:cs="Times New Roman"/>
                <w:b/>
                <w:kern w:val="0"/>
                <w:sz w:val="20"/>
                <w:szCs w:val="20"/>
                <w:lang w:val="en-GB" w:eastAsia="en-US" w:bidi="ar-SA"/>
              </w:rPr>
            </w:pPr>
            <w:r>
              <w:rPr>
                <w:rFonts w:hint="default" w:ascii="Times New Roman" w:hAnsi="Times New Roman" w:cs="Times New Roman"/>
                <w:sz w:val="20"/>
                <w:szCs w:val="20"/>
              </w:rPr>
              <w:t>DIFF</w:t>
            </w:r>
          </w:p>
        </w:tc>
      </w:tr>
      <w:bookmarkEnd w:id="4"/>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7"/>
              <w:overflowPunct w:val="0"/>
              <w:autoSpaceDE w:val="0"/>
              <w:autoSpaceDN w:val="0"/>
              <w:adjustRightInd w:val="0"/>
              <w:spacing w:after="180"/>
              <w:textAlignment w:val="baseline"/>
              <w:rPr>
                <w:b/>
                <w:i/>
              </w:rPr>
            </w:pPr>
            <w:bookmarkStart w:id="9" w:name="OLE_LINK11"/>
            <w:bookmarkStart w:id="10" w:name="OLE_LINK28"/>
            <w:r>
              <w:rPr>
                <w:b/>
                <w:i/>
              </w:rPr>
              <w:t>max-HARQ-ProcessNumber-r17</w:t>
            </w:r>
          </w:p>
          <w:p>
            <w:pPr>
              <w:pStyle w:val="57"/>
              <w:overflowPunct w:val="0"/>
              <w:autoSpaceDE w:val="0"/>
              <w:autoSpaceDN w:val="0"/>
              <w:adjustRightInd w:val="0"/>
              <w:spacing w:after="180"/>
              <w:textAlignment w:val="baseline"/>
              <w:rPr>
                <w:rFonts w:hint="eastAsia" w:ascii="Times New Roman" w:hAnsi="Times New Roman" w:eastAsia="宋体" w:cs="Times New Roman"/>
                <w:b/>
                <w:bCs/>
                <w:i/>
                <w:iCs/>
                <w:kern w:val="2"/>
                <w:sz w:val="20"/>
                <w:szCs w:val="20"/>
                <w:lang w:val="en-US" w:eastAsia="zh-CN" w:bidi="ar-SA"/>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0" w:type="auto"/>
          </w:tcPr>
          <w:p>
            <w:pPr>
              <w:pStyle w:val="57"/>
              <w:overflowPunct w:val="0"/>
              <w:autoSpaceDE w:val="0"/>
              <w:autoSpaceDN w:val="0"/>
              <w:adjustRightInd w:val="0"/>
              <w:spacing w:after="180"/>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bCs/>
                <w:iCs/>
                <w:sz w:val="20"/>
                <w:szCs w:val="20"/>
              </w:rPr>
              <w:t>Band</w:t>
            </w:r>
          </w:p>
        </w:tc>
        <w:tc>
          <w:tcPr>
            <w:tcW w:w="0" w:type="auto"/>
            <w:vAlign w:val="top"/>
          </w:tcPr>
          <w:p>
            <w:pPr>
              <w:pStyle w:val="57"/>
              <w:overflowPunct w:val="0"/>
              <w:autoSpaceDE w:val="0"/>
              <w:autoSpaceDN w:val="0"/>
              <w:adjustRightInd w:val="0"/>
              <w:spacing w:after="180"/>
              <w:textAlignment w:val="baseline"/>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bCs/>
                <w:iCs/>
                <w:sz w:val="20"/>
                <w:szCs w:val="20"/>
              </w:rPr>
              <w:t>No</w:t>
            </w:r>
          </w:p>
        </w:tc>
        <w:tc>
          <w:tcPr>
            <w:tcW w:w="0" w:type="auto"/>
          </w:tcPr>
          <w:p>
            <w:pPr>
              <w:pStyle w:val="57"/>
              <w:overflowPunct w:val="0"/>
              <w:autoSpaceDE w:val="0"/>
              <w:autoSpaceDN w:val="0"/>
              <w:adjustRightInd w:val="0"/>
              <w:spacing w:after="180"/>
              <w:textAlignment w:val="baseline"/>
              <w:rPr>
                <w:rFonts w:hint="default" w:ascii="Times New Roman" w:hAnsi="Times New Roman" w:eastAsia="宋体" w:cs="Times New Roman"/>
                <w:bCs/>
                <w:iCs/>
                <w:kern w:val="2"/>
                <w:sz w:val="20"/>
                <w:szCs w:val="20"/>
                <w:lang w:val="en-US" w:eastAsia="zh-CN" w:bidi="ar-SA"/>
              </w:rPr>
            </w:pPr>
            <w:r>
              <w:rPr>
                <w:rFonts w:hint="default" w:ascii="Times New Roman" w:hAnsi="Times New Roman" w:cs="Times New Roman"/>
                <w:bCs/>
                <w:iCs/>
                <w:sz w:val="20"/>
                <w:szCs w:val="20"/>
              </w:rPr>
              <w:t>N/A</w:t>
            </w:r>
          </w:p>
        </w:tc>
        <w:tc>
          <w:tcPr>
            <w:tcW w:w="0" w:type="auto"/>
          </w:tcPr>
          <w:p>
            <w:pPr>
              <w:pStyle w:val="57"/>
              <w:overflowPunct w:val="0"/>
              <w:autoSpaceDE w:val="0"/>
              <w:autoSpaceDN w:val="0"/>
              <w:adjustRightInd w:val="0"/>
              <w:spacing w:after="180"/>
              <w:textAlignment w:val="baseline"/>
              <w:rPr>
                <w:rFonts w:hint="default" w:ascii="Times New Roman" w:hAnsi="Times New Roman" w:eastAsia="宋体" w:cs="Times New Roman"/>
                <w:bCs/>
                <w:iCs/>
                <w:kern w:val="2"/>
                <w:sz w:val="20"/>
                <w:szCs w:val="20"/>
                <w:lang w:val="en-US" w:eastAsia="zh-CN" w:bidi="ar-SA"/>
              </w:rPr>
            </w:pPr>
            <w:r>
              <w:rPr>
                <w:rFonts w:hint="default" w:ascii="Times New Roman" w:hAnsi="Times New Roman" w:cs="Times New Roman"/>
                <w:bCs/>
                <w:iCs/>
                <w:sz w:val="20"/>
                <w:szCs w:val="20"/>
              </w:rPr>
              <w:t>N/A</w:t>
            </w:r>
          </w:p>
        </w:tc>
      </w:tr>
    </w:tbl>
    <w:p>
      <w:pPr>
        <w:pStyle w:val="62"/>
        <w:keepLines w:val="0"/>
        <w:widowControl w:val="0"/>
        <w:spacing w:before="120" w:after="120"/>
        <w:ind w:left="0" w:firstLine="0"/>
        <w:rPr>
          <w:rFonts w:hint="eastAsia"/>
          <w:lang w:val="en-US" w:eastAsia="zh-CN"/>
        </w:rPr>
      </w:pPr>
      <w:r>
        <w:rPr>
          <w:rFonts w:hint="eastAsia"/>
          <w:lang w:val="en-US" w:eastAsia="zh-CN"/>
        </w:rPr>
        <w:t>From the above description we can find that the max-HARQ-ProcessNumber-r17 is supported by NTN and HAPS, if 32 HARQ process is to be used for ATG, the UE capability needs to be introduced. As the UE capability of NTN or HAPS does not consider compatibility with ATG scenarios during standardization, UE capability of ATG needs to be considered, such as updating the content of the above table to enable ATG to support up to 32 HARQ process numbers.</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1. To consider UE capability of max HARQ number of 32 for ATG CPE to support new TDD pattern.</w:t>
      </w:r>
    </w:p>
    <w:p>
      <w:pPr>
        <w:pStyle w:val="62"/>
        <w:keepLines w:val="0"/>
        <w:widowControl w:val="0"/>
        <w:spacing w:before="120" w:after="120"/>
        <w:ind w:left="0" w:firstLine="0"/>
        <w:rPr>
          <w:rFonts w:hint="eastAsia"/>
          <w:lang w:val="en-US" w:eastAsia="zh-CN"/>
        </w:rPr>
      </w:pPr>
      <w:r>
        <w:rPr>
          <w:rFonts w:hint="eastAsia"/>
          <w:lang w:val="en-US" w:eastAsia="zh-CN"/>
        </w:rPr>
        <w:t>With regard to MCS, 256QAM is still FFS, and we give the initial simulation results with throughput comparison between MCSs of 64QAM and 256QAM.</w:t>
      </w:r>
    </w:p>
    <w:p>
      <w:pPr>
        <w:pStyle w:val="62"/>
        <w:keepLines w:val="0"/>
        <w:widowControl w:val="0"/>
        <w:spacing w:before="120" w:after="120"/>
        <w:ind w:left="0" w:firstLine="0"/>
        <w:jc w:val="center"/>
      </w:pPr>
      <w:r>
        <w:drawing>
          <wp:inline distT="0" distB="0" distL="114300" distR="114300">
            <wp:extent cx="4711065" cy="3990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rcRect l="4528" r="6834"/>
                    <a:stretch>
                      <a:fillRect/>
                    </a:stretch>
                  </pic:blipFill>
                  <pic:spPr>
                    <a:xfrm>
                      <a:off x="0" y="0"/>
                      <a:ext cx="4711065" cy="3990975"/>
                    </a:xfrm>
                    <a:prstGeom prst="rect">
                      <a:avLst/>
                    </a:prstGeom>
                    <a:noFill/>
                    <a:ln>
                      <a:noFill/>
                    </a:ln>
                  </pic:spPr>
                </pic:pic>
              </a:graphicData>
            </a:graphic>
          </wp:inline>
        </w:drawing>
      </w:r>
    </w:p>
    <w:p>
      <w:pPr>
        <w:pStyle w:val="62"/>
        <w:keepLines w:val="0"/>
        <w:widowControl w:val="0"/>
        <w:spacing w:before="120" w:after="120"/>
        <w:ind w:left="0" w:firstLine="0"/>
        <w:jc w:val="center"/>
        <w:rPr>
          <w:rFonts w:hint="default" w:eastAsia="宋体"/>
          <w:lang w:val="en-US" w:eastAsia="zh-CN"/>
        </w:rPr>
      </w:pPr>
      <w:r>
        <w:rPr>
          <w:rFonts w:hint="eastAsia"/>
          <w:lang w:val="en-US" w:eastAsia="zh-CN"/>
        </w:rPr>
        <w:t>Figure 2-1 Throughput comparison between MCSs of 64QAM and 256QAM</w:t>
      </w:r>
    </w:p>
    <w:p>
      <w:pPr>
        <w:pStyle w:val="62"/>
        <w:keepLines w:val="0"/>
        <w:widowControl w:val="0"/>
        <w:spacing w:before="120" w:after="120"/>
        <w:ind w:left="0" w:firstLine="0"/>
        <w:rPr>
          <w:rFonts w:hint="default"/>
          <w:lang w:val="en-US" w:eastAsia="zh-CN"/>
        </w:rPr>
      </w:pPr>
      <w:r>
        <w:rPr>
          <w:rFonts w:hint="eastAsia"/>
          <w:lang w:val="en-US" w:eastAsia="zh-CN"/>
        </w:rPr>
        <w:t>From figure 2-1 we can find 256QAM can provide throughput gain when the SNR is equal to or higher than 18dB and the AWGN channel matrix is a 2X2 unit matrix.</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Throughput gain can be expected when MCS of 256QAM is considered.</w:t>
      </w:r>
    </w:p>
    <w:p>
      <w:pPr>
        <w:pStyle w:val="62"/>
        <w:keepLines w:val="0"/>
        <w:widowControl w:val="0"/>
        <w:spacing w:before="120" w:after="120"/>
        <w:ind w:left="0" w:firstLine="0"/>
        <w:rPr>
          <w:rFonts w:hint="default"/>
          <w:lang w:val="en-US" w:eastAsia="zh-CN"/>
        </w:rPr>
      </w:pPr>
      <w:r>
        <w:rPr>
          <w:rFonts w:hint="eastAsia"/>
          <w:lang w:val="en-US" w:eastAsia="zh-CN"/>
        </w:rPr>
        <w:t>With regard to the BW selection, different options are to be discussed. Table 2-1 compares the operating SNR for 30kHz SCS for 40MHz BW and 100MHz BW.</w:t>
      </w:r>
    </w:p>
    <w:p>
      <w:pPr>
        <w:pStyle w:val="62"/>
        <w:keepLines w:val="0"/>
        <w:widowControl w:val="0"/>
        <w:spacing w:before="120" w:after="120"/>
        <w:ind w:left="0" w:firstLine="0"/>
        <w:jc w:val="center"/>
        <w:rPr>
          <w:rFonts w:hint="default"/>
          <w:lang w:val="en-US" w:eastAsia="zh-CN"/>
        </w:rPr>
      </w:pPr>
      <w:r>
        <w:rPr>
          <w:rFonts w:hint="eastAsia"/>
          <w:lang w:val="en-US" w:eastAsia="zh-CN"/>
        </w:rPr>
        <w:t>Table 2-1 comparison between different BW</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1367"/>
        <w:gridCol w:w="2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jc w:val="center"/>
              <w:textAlignment w:val="auto"/>
              <w:rPr>
                <w:rFonts w:hint="default"/>
                <w:vertAlign w:val="baseline"/>
                <w:lang w:val="en-US" w:eastAsia="zh-CN"/>
              </w:rPr>
            </w:pPr>
            <w:r>
              <w:rPr>
                <w:rFonts w:hint="eastAsia"/>
                <w:vertAlign w:val="baseline"/>
                <w:lang w:val="en-US" w:eastAsia="zh-CN"/>
              </w:rPr>
              <w:t>MCS</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jc w:val="center"/>
              <w:textAlignment w:val="auto"/>
              <w:rPr>
                <w:rFonts w:hint="default"/>
                <w:vertAlign w:val="baseline"/>
                <w:lang w:val="en-US" w:eastAsia="zh-CN"/>
              </w:rPr>
            </w:pPr>
            <w:r>
              <w:rPr>
                <w:rFonts w:hint="eastAsia"/>
                <w:vertAlign w:val="baseline"/>
                <w:lang w:val="en-US" w:eastAsia="zh-CN"/>
              </w:rPr>
              <w:t>BW(MHz)</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jc w:val="center"/>
              <w:textAlignment w:val="auto"/>
              <w:rPr>
                <w:rFonts w:hint="default"/>
                <w:vertAlign w:val="baseline"/>
                <w:lang w:val="en-US" w:eastAsia="zh-CN"/>
              </w:rPr>
            </w:pPr>
            <w:r>
              <w:rPr>
                <w:rFonts w:hint="eastAsia"/>
                <w:vertAlign w:val="baseline"/>
                <w:lang w:val="en-US" w:eastAsia="zh-CN"/>
              </w:rPr>
              <w:t>Operating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64QAM MCS23</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40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100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11.</w:t>
            </w: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64QAM MCS24</w:t>
            </w: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40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12.</w:t>
            </w:r>
            <w:r>
              <w:rPr>
                <w:rFonts w:hint="eastAsia"/>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100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256QAM MCS21</w:t>
            </w: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40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16.</w:t>
            </w:r>
            <w:r>
              <w:rPr>
                <w:rFonts w:hint="eastAsia"/>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100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16.</w:t>
            </w:r>
            <w:r>
              <w:rPr>
                <w:rFonts w:hint="eastAsia"/>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256QAM MCS22</w:t>
            </w: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40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p>
        </w:tc>
        <w:tc>
          <w:tcPr>
            <w:tcW w:w="0" w:type="auto"/>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100</w:t>
            </w:r>
          </w:p>
        </w:tc>
        <w:tc>
          <w:tcPr>
            <w:tcW w:w="0" w:type="auto"/>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default"/>
                <w:vertAlign w:val="baseline"/>
                <w:lang w:val="en-US" w:eastAsia="zh-CN"/>
              </w:rPr>
              <w:t>17.3</w:t>
            </w:r>
          </w:p>
        </w:tc>
      </w:tr>
    </w:tbl>
    <w:p>
      <w:pPr>
        <w:pStyle w:val="62"/>
        <w:keepLines w:val="0"/>
        <w:widowControl w:val="0"/>
        <w:spacing w:before="120" w:after="120"/>
        <w:ind w:left="0" w:firstLine="0"/>
        <w:rPr>
          <w:rFonts w:hint="eastAsia"/>
          <w:b/>
          <w:bCs/>
          <w:i/>
          <w:iCs/>
          <w:kern w:val="2"/>
          <w:lang w:val="en-US" w:eastAsia="zh-CN"/>
        </w:rPr>
      </w:pPr>
      <w:r>
        <w:rPr>
          <w:rFonts w:hint="eastAsia"/>
          <w:lang w:val="en-US" w:eastAsia="zh-CN"/>
        </w:rPr>
        <w:t>From table 2-1 we can find that the operating SNR for 40MHz BW and 100MHz BW is close .</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2. Based on initial simulation results, there is no big gap in operating SNR between 40MHz and 100MHz.</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2. To consider the following BW for ATG demodulation requirements.</w:t>
      </w:r>
    </w:p>
    <w:p>
      <w:pPr>
        <w:pStyle w:val="32"/>
        <w:numPr>
          <w:ilvl w:val="0"/>
          <w:numId w:val="7"/>
        </w:numPr>
        <w:overflowPunct w:val="0"/>
        <w:autoSpaceDE w:val="0"/>
        <w:autoSpaceDN w:val="0"/>
        <w:adjustRightInd w:val="0"/>
        <w:spacing w:after="120"/>
        <w:ind w:left="1212" w:firstLineChars="0"/>
        <w:textAlignment w:val="baseline"/>
        <w:rPr>
          <w:rFonts w:eastAsia="宋体"/>
          <w:b/>
          <w:bCs/>
          <w:i/>
          <w:iCs/>
          <w:sz w:val="20"/>
          <w:szCs w:val="20"/>
          <w:lang w:val="en-GB"/>
        </w:rPr>
      </w:pPr>
      <w:r>
        <w:rPr>
          <w:rFonts w:eastAsia="宋体"/>
          <w:b/>
          <w:bCs/>
          <w:i/>
          <w:iCs/>
          <w:sz w:val="20"/>
          <w:szCs w:val="20"/>
        </w:rPr>
        <w:t>For TDD:</w:t>
      </w:r>
    </w:p>
    <w:p>
      <w:pPr>
        <w:pStyle w:val="32"/>
        <w:numPr>
          <w:ilvl w:val="1"/>
          <w:numId w:val="7"/>
        </w:numPr>
        <w:overflowPunct w:val="0"/>
        <w:autoSpaceDE w:val="0"/>
        <w:autoSpaceDN w:val="0"/>
        <w:adjustRightInd w:val="0"/>
        <w:spacing w:after="120"/>
        <w:ind w:left="1932" w:firstLineChars="0"/>
        <w:textAlignment w:val="baseline"/>
        <w:rPr>
          <w:rFonts w:eastAsia="宋体"/>
          <w:b/>
          <w:bCs/>
          <w:i/>
          <w:iCs/>
          <w:sz w:val="20"/>
          <w:szCs w:val="20"/>
        </w:rPr>
      </w:pPr>
      <w:r>
        <w:rPr>
          <w:rFonts w:eastAsia="宋体"/>
          <w:b/>
          <w:bCs/>
          <w:i/>
          <w:iCs/>
          <w:sz w:val="20"/>
          <w:szCs w:val="20"/>
        </w:rPr>
        <w:t xml:space="preserve">100MHz for TDD 30kHz. </w:t>
      </w:r>
    </w:p>
    <w:p>
      <w:pPr>
        <w:pStyle w:val="32"/>
        <w:numPr>
          <w:ilvl w:val="0"/>
          <w:numId w:val="7"/>
        </w:numPr>
        <w:overflowPunct w:val="0"/>
        <w:autoSpaceDE w:val="0"/>
        <w:autoSpaceDN w:val="0"/>
        <w:adjustRightInd w:val="0"/>
        <w:spacing w:after="120"/>
        <w:ind w:left="1212" w:firstLineChars="0"/>
        <w:textAlignment w:val="baseline"/>
        <w:rPr>
          <w:rFonts w:eastAsia="宋体"/>
          <w:b/>
          <w:bCs/>
          <w:i/>
          <w:iCs/>
          <w:sz w:val="20"/>
          <w:szCs w:val="20"/>
        </w:rPr>
      </w:pPr>
      <w:r>
        <w:rPr>
          <w:rFonts w:eastAsia="宋体"/>
          <w:b/>
          <w:bCs/>
          <w:i/>
          <w:iCs/>
          <w:sz w:val="20"/>
          <w:szCs w:val="20"/>
        </w:rPr>
        <w:t>For FDD:</w:t>
      </w:r>
    </w:p>
    <w:p>
      <w:pPr>
        <w:pStyle w:val="32"/>
        <w:numPr>
          <w:ilvl w:val="1"/>
          <w:numId w:val="7"/>
        </w:numPr>
        <w:overflowPunct w:val="0"/>
        <w:autoSpaceDE w:val="0"/>
        <w:autoSpaceDN w:val="0"/>
        <w:adjustRightInd w:val="0"/>
        <w:spacing w:after="120"/>
        <w:ind w:left="1932" w:firstLineChars="0"/>
        <w:textAlignment w:val="baseline"/>
        <w:rPr>
          <w:rFonts w:eastAsia="宋体"/>
          <w:b/>
          <w:bCs/>
          <w:i/>
          <w:iCs/>
          <w:sz w:val="20"/>
          <w:szCs w:val="20"/>
        </w:rPr>
      </w:pPr>
      <w:r>
        <w:rPr>
          <w:rFonts w:eastAsia="宋体"/>
          <w:b/>
          <w:bCs/>
          <w:i/>
          <w:iCs/>
          <w:sz w:val="20"/>
          <w:szCs w:val="20"/>
        </w:rPr>
        <w:t>20M</w:t>
      </w:r>
      <w:r>
        <w:rPr>
          <w:rFonts w:hint="eastAsia" w:eastAsia="宋体"/>
          <w:b/>
          <w:bCs/>
          <w:i/>
          <w:iCs/>
          <w:sz w:val="20"/>
          <w:szCs w:val="20"/>
          <w:lang w:val="en-US" w:eastAsia="zh-CN"/>
        </w:rPr>
        <w:t>H</w:t>
      </w:r>
      <w:r>
        <w:rPr>
          <w:rFonts w:eastAsia="宋体"/>
          <w:b/>
          <w:bCs/>
          <w:i/>
          <w:iCs/>
          <w:sz w:val="20"/>
          <w:szCs w:val="20"/>
        </w:rPr>
        <w:t>z for FDD 15kHz</w:t>
      </w:r>
    </w:p>
    <w:p>
      <w:pPr>
        <w:pStyle w:val="62"/>
        <w:keepLines w:val="0"/>
        <w:widowControl w:val="0"/>
        <w:spacing w:before="120" w:after="120"/>
        <w:ind w:left="0" w:firstLine="0"/>
        <w:rPr>
          <w:rFonts w:hint="default"/>
          <w:lang w:val="en-US" w:eastAsia="zh-CN"/>
        </w:rPr>
      </w:pPr>
    </w:p>
    <w:bookmarkEnd w:id="6"/>
    <w:bookmarkEnd w:id="7"/>
    <w:bookmarkEnd w:id="9"/>
    <w:bookmarkEnd w:id="10"/>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 xml:space="preserve">In this contribution, we give some </w:t>
      </w:r>
      <w:r>
        <w:rPr>
          <w:rFonts w:hint="eastAsia"/>
          <w:sz w:val="20"/>
          <w:lang w:val="en-US" w:eastAsia="zh-CN"/>
        </w:rPr>
        <w:t>conclusions</w:t>
      </w:r>
      <w:r>
        <w:rPr>
          <w:rFonts w:hint="eastAsia"/>
          <w:sz w:val="20"/>
        </w:rPr>
        <w:t xml:space="preserve"> for </w:t>
      </w:r>
      <w:r>
        <w:rPr>
          <w:rFonts w:hint="eastAsia"/>
          <w:sz w:val="20"/>
          <w:lang w:val="en-US" w:eastAsia="zh-CN"/>
        </w:rPr>
        <w:t xml:space="preserve">ATG </w:t>
      </w:r>
      <w:r>
        <w:rPr>
          <w:rFonts w:hint="eastAsia"/>
          <w:sz w:val="20"/>
        </w:rPr>
        <w:t>UE</w:t>
      </w:r>
      <w:r>
        <w:rPr>
          <w:rFonts w:hint="eastAsia"/>
          <w:sz w:val="20"/>
          <w:lang w:val="en-US" w:eastAsia="zh-CN"/>
        </w:rPr>
        <w:t xml:space="preserve"> demodulation</w:t>
      </w:r>
      <w:r>
        <w:rPr>
          <w:rFonts w:hint="eastAsia"/>
          <w:sz w:val="20"/>
        </w:rPr>
        <w:t xml:space="preserve"> . </w:t>
      </w:r>
    </w:p>
    <w:p>
      <w:pPr>
        <w:widowControl w:val="0"/>
        <w:numPr>
          <w:ilvl w:val="255"/>
          <w:numId w:val="0"/>
        </w:numPr>
        <w:spacing w:before="120" w:beforeLines="0" w:after="120" w:afterLines="0" w:line="240" w:lineRule="auto"/>
        <w:jc w:val="left"/>
        <w:rPr>
          <w:rFonts w:hint="eastAsia"/>
          <w:bCs/>
          <w:kern w:val="0"/>
          <w:szCs w:val="21"/>
        </w:rPr>
      </w:pPr>
      <w:r>
        <w:rPr>
          <w:rFonts w:hint="eastAsia"/>
          <w:bCs/>
          <w:kern w:val="0"/>
          <w:szCs w:val="21"/>
        </w:rPr>
        <w:t>The conclusions are:</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1. To consider UE capability of max HARQ number of 32</w:t>
      </w:r>
      <w:bookmarkStart w:id="12" w:name="_GoBack"/>
      <w:bookmarkEnd w:id="12"/>
      <w:r>
        <w:rPr>
          <w:rFonts w:hint="eastAsia"/>
          <w:b/>
          <w:bCs/>
          <w:i/>
          <w:iCs/>
          <w:kern w:val="2"/>
          <w:lang w:val="en-US" w:eastAsia="zh-CN"/>
        </w:rPr>
        <w:t xml:space="preserve"> for ATG CPE to support new TDD pattern.</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Throughput gain can be expected when MCS of 256QAM is considered.</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2. Based on initial simulation results, there is no big gap in operating SNR between 40MHz and 100MHz.</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2. To consider the following BW for ATG demodulation requirements.</w:t>
      </w:r>
    </w:p>
    <w:p>
      <w:pPr>
        <w:pStyle w:val="32"/>
        <w:numPr>
          <w:ilvl w:val="0"/>
          <w:numId w:val="7"/>
        </w:numPr>
        <w:overflowPunct w:val="0"/>
        <w:autoSpaceDE w:val="0"/>
        <w:autoSpaceDN w:val="0"/>
        <w:adjustRightInd w:val="0"/>
        <w:spacing w:after="120"/>
        <w:ind w:left="1212" w:firstLineChars="0"/>
        <w:textAlignment w:val="baseline"/>
        <w:rPr>
          <w:rFonts w:eastAsia="宋体"/>
          <w:b/>
          <w:bCs/>
          <w:i/>
          <w:iCs/>
          <w:sz w:val="20"/>
          <w:szCs w:val="20"/>
          <w:lang w:val="en-GB"/>
        </w:rPr>
      </w:pPr>
      <w:r>
        <w:rPr>
          <w:rFonts w:eastAsia="宋体"/>
          <w:b/>
          <w:bCs/>
          <w:i/>
          <w:iCs/>
          <w:sz w:val="20"/>
          <w:szCs w:val="20"/>
        </w:rPr>
        <w:t>For TDD:</w:t>
      </w:r>
    </w:p>
    <w:p>
      <w:pPr>
        <w:pStyle w:val="32"/>
        <w:numPr>
          <w:ilvl w:val="1"/>
          <w:numId w:val="7"/>
        </w:numPr>
        <w:overflowPunct w:val="0"/>
        <w:autoSpaceDE w:val="0"/>
        <w:autoSpaceDN w:val="0"/>
        <w:adjustRightInd w:val="0"/>
        <w:spacing w:after="120"/>
        <w:ind w:left="1932" w:firstLineChars="0"/>
        <w:textAlignment w:val="baseline"/>
        <w:rPr>
          <w:rFonts w:eastAsia="宋体"/>
          <w:b/>
          <w:bCs/>
          <w:i/>
          <w:iCs/>
          <w:sz w:val="20"/>
          <w:szCs w:val="20"/>
        </w:rPr>
      </w:pPr>
      <w:r>
        <w:rPr>
          <w:rFonts w:eastAsia="宋体"/>
          <w:b/>
          <w:bCs/>
          <w:i/>
          <w:iCs/>
          <w:sz w:val="20"/>
          <w:szCs w:val="20"/>
        </w:rPr>
        <w:t xml:space="preserve">100MHz for TDD 30kHz. </w:t>
      </w:r>
    </w:p>
    <w:p>
      <w:pPr>
        <w:pStyle w:val="32"/>
        <w:numPr>
          <w:ilvl w:val="0"/>
          <w:numId w:val="7"/>
        </w:numPr>
        <w:overflowPunct w:val="0"/>
        <w:autoSpaceDE w:val="0"/>
        <w:autoSpaceDN w:val="0"/>
        <w:adjustRightInd w:val="0"/>
        <w:spacing w:after="120"/>
        <w:ind w:left="1212" w:firstLineChars="0"/>
        <w:textAlignment w:val="baseline"/>
        <w:rPr>
          <w:rFonts w:eastAsia="宋体"/>
          <w:b/>
          <w:bCs/>
          <w:i/>
          <w:iCs/>
          <w:sz w:val="20"/>
          <w:szCs w:val="20"/>
        </w:rPr>
      </w:pPr>
      <w:r>
        <w:rPr>
          <w:rFonts w:eastAsia="宋体"/>
          <w:b/>
          <w:bCs/>
          <w:i/>
          <w:iCs/>
          <w:sz w:val="20"/>
          <w:szCs w:val="20"/>
        </w:rPr>
        <w:t>For FDD:</w:t>
      </w:r>
    </w:p>
    <w:p>
      <w:pPr>
        <w:pStyle w:val="32"/>
        <w:numPr>
          <w:ilvl w:val="1"/>
          <w:numId w:val="7"/>
        </w:numPr>
        <w:overflowPunct w:val="0"/>
        <w:autoSpaceDE w:val="0"/>
        <w:autoSpaceDN w:val="0"/>
        <w:adjustRightInd w:val="0"/>
        <w:spacing w:after="120"/>
        <w:ind w:left="1932" w:firstLineChars="0"/>
        <w:textAlignment w:val="baseline"/>
        <w:rPr>
          <w:rFonts w:eastAsia="宋体"/>
          <w:b/>
          <w:bCs/>
          <w:i/>
          <w:iCs/>
          <w:sz w:val="20"/>
          <w:szCs w:val="20"/>
        </w:rPr>
      </w:pPr>
      <w:r>
        <w:rPr>
          <w:rFonts w:eastAsia="宋体"/>
          <w:b/>
          <w:bCs/>
          <w:i/>
          <w:iCs/>
          <w:sz w:val="20"/>
          <w:szCs w:val="20"/>
        </w:rPr>
        <w:t>20M</w:t>
      </w:r>
      <w:r>
        <w:rPr>
          <w:rFonts w:hint="eastAsia" w:eastAsia="宋体"/>
          <w:b/>
          <w:bCs/>
          <w:i/>
          <w:iCs/>
          <w:sz w:val="20"/>
          <w:szCs w:val="20"/>
          <w:lang w:val="en-US" w:eastAsia="zh-CN"/>
        </w:rPr>
        <w:t>H</w:t>
      </w:r>
      <w:r>
        <w:rPr>
          <w:rFonts w:eastAsia="宋体"/>
          <w:b/>
          <w:bCs/>
          <w:i/>
          <w:iCs/>
          <w:sz w:val="20"/>
          <w:szCs w:val="20"/>
        </w:rPr>
        <w:t>z for FDD 15kHz</w:t>
      </w:r>
    </w:p>
    <w:p>
      <w:pPr>
        <w:pStyle w:val="62"/>
        <w:keepLines w:val="0"/>
        <w:widowControl w:val="0"/>
        <w:spacing w:before="120" w:after="120"/>
        <w:ind w:left="0" w:firstLine="0"/>
        <w:rPr>
          <w:rFonts w:hint="default"/>
          <w:b/>
          <w:bCs/>
          <w:i/>
          <w:iCs/>
          <w:kern w:val="2"/>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1" w:name="OLE_LINK32"/>
      <w:r>
        <w:rPr>
          <w:rFonts w:hint="eastAsia"/>
          <w:sz w:val="20"/>
          <w:lang w:val="en-US" w:eastAsia="zh-CN"/>
        </w:rPr>
        <w:t xml:space="preserve"> </w:t>
      </w:r>
      <w:bookmarkEnd w:id="11"/>
      <w:r>
        <w:rPr>
          <w:rFonts w:hint="eastAsia"/>
          <w:sz w:val="20"/>
        </w:rPr>
        <w:t>RP-221369, Revised WID on Air-to-ground network for NR, CMCC</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R4-2305899</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eastAsia"/>
          <w:lang w:val="en-US" w:eastAsia="zh-CN"/>
        </w:rPr>
      </w:pPr>
      <w:r>
        <w:rPr>
          <w:rFonts w:hint="eastAsia"/>
          <w:sz w:val="20"/>
          <w:lang w:val="en-US" w:eastAsia="zh-CN"/>
        </w:rPr>
        <w:t xml:space="preserve">[3]  </w:t>
      </w:r>
      <w:r>
        <w:rPr>
          <w:rFonts w:hint="eastAsia"/>
          <w:lang w:val="en-US" w:eastAsia="zh-CN"/>
        </w:rPr>
        <w:t>3GPP TS 38.331 v17.4.0</w:t>
      </w:r>
    </w:p>
    <w:p>
      <w:pPr>
        <w:widowControl w:val="0"/>
        <w:tabs>
          <w:tab w:val="left" w:pos="90"/>
          <w:tab w:val="left" w:pos="1868"/>
          <w:tab w:val="right" w:pos="10648"/>
        </w:tabs>
        <w:spacing w:beforeLines="0" w:afterLines="0" w:line="260" w:lineRule="auto"/>
        <w:jc w:val="left"/>
        <w:rPr>
          <w:rFonts w:hint="eastAsia"/>
          <w:lang w:val="en-US" w:eastAsia="zh-CN"/>
        </w:rPr>
      </w:pPr>
      <w:r>
        <w:rPr>
          <w:rFonts w:hint="eastAsia"/>
          <w:lang w:val="en-US" w:eastAsia="zh-CN"/>
        </w:rPr>
        <w:t>[4]  3GPP TS 38.212 v17.5.0</w:t>
      </w:r>
    </w:p>
    <w:p>
      <w:pPr>
        <w:widowControl w:val="0"/>
        <w:tabs>
          <w:tab w:val="left" w:pos="90"/>
          <w:tab w:val="left" w:pos="1868"/>
          <w:tab w:val="right" w:pos="10648"/>
        </w:tabs>
        <w:spacing w:beforeLines="0" w:afterLines="0" w:line="260" w:lineRule="auto"/>
        <w:jc w:val="left"/>
        <w:rPr>
          <w:rFonts w:hint="default"/>
          <w:lang w:val="en-US" w:eastAsia="zh-CN"/>
        </w:rPr>
      </w:pPr>
      <w:r>
        <w:rPr>
          <w:rFonts w:hint="eastAsia"/>
          <w:lang w:val="en-US" w:eastAsia="zh-CN"/>
        </w:rPr>
        <w:t>[5]  3GPP TS 38.306 v</w:t>
      </w:r>
      <w:r>
        <w:rPr>
          <w:rFonts w:hint="eastAsia"/>
        </w:rPr>
        <w:t>17.4.0</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4A56"/>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43EAB"/>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3F113F"/>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6B114E"/>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777439"/>
    <w:rsid w:val="098143BC"/>
    <w:rsid w:val="098500F1"/>
    <w:rsid w:val="09B060BF"/>
    <w:rsid w:val="09B21695"/>
    <w:rsid w:val="09BD407A"/>
    <w:rsid w:val="09DA0E26"/>
    <w:rsid w:val="09E55691"/>
    <w:rsid w:val="09F67CD5"/>
    <w:rsid w:val="0A054821"/>
    <w:rsid w:val="0A0835C8"/>
    <w:rsid w:val="0A145721"/>
    <w:rsid w:val="0A355EAA"/>
    <w:rsid w:val="0A3708FF"/>
    <w:rsid w:val="0A3B01F9"/>
    <w:rsid w:val="0A3F0488"/>
    <w:rsid w:val="0A402A36"/>
    <w:rsid w:val="0A4236A3"/>
    <w:rsid w:val="0A475859"/>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3BA1"/>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0D18A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11AB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06EEA"/>
    <w:rsid w:val="10853AA6"/>
    <w:rsid w:val="108C2479"/>
    <w:rsid w:val="10C715C5"/>
    <w:rsid w:val="10D335EF"/>
    <w:rsid w:val="10E746EA"/>
    <w:rsid w:val="10E83FE0"/>
    <w:rsid w:val="10EC3168"/>
    <w:rsid w:val="10F52718"/>
    <w:rsid w:val="1118129A"/>
    <w:rsid w:val="114028DC"/>
    <w:rsid w:val="1141355F"/>
    <w:rsid w:val="11634555"/>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391593"/>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A7537A"/>
    <w:rsid w:val="15B03F28"/>
    <w:rsid w:val="15B95373"/>
    <w:rsid w:val="15E30A80"/>
    <w:rsid w:val="15E73E3D"/>
    <w:rsid w:val="16014E2C"/>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67643"/>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73355"/>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00DAD"/>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04C44"/>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B136B"/>
    <w:rsid w:val="20EC3F2E"/>
    <w:rsid w:val="20EC7C3E"/>
    <w:rsid w:val="210548E9"/>
    <w:rsid w:val="21124D15"/>
    <w:rsid w:val="211C6B81"/>
    <w:rsid w:val="21394D98"/>
    <w:rsid w:val="213E7119"/>
    <w:rsid w:val="21530058"/>
    <w:rsid w:val="21732704"/>
    <w:rsid w:val="217D15BC"/>
    <w:rsid w:val="21810744"/>
    <w:rsid w:val="218D6EF5"/>
    <w:rsid w:val="2195668B"/>
    <w:rsid w:val="219F69EC"/>
    <w:rsid w:val="21A130EA"/>
    <w:rsid w:val="21AB278B"/>
    <w:rsid w:val="21C267BF"/>
    <w:rsid w:val="21CD6BCD"/>
    <w:rsid w:val="21CE6067"/>
    <w:rsid w:val="21CF439A"/>
    <w:rsid w:val="21D04BBA"/>
    <w:rsid w:val="21F00127"/>
    <w:rsid w:val="221D2FA3"/>
    <w:rsid w:val="2226635F"/>
    <w:rsid w:val="222D4F0B"/>
    <w:rsid w:val="223D7545"/>
    <w:rsid w:val="22411D14"/>
    <w:rsid w:val="22423BE1"/>
    <w:rsid w:val="22454449"/>
    <w:rsid w:val="22500810"/>
    <w:rsid w:val="226347BD"/>
    <w:rsid w:val="22682935"/>
    <w:rsid w:val="226D66AC"/>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132C4B"/>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171746"/>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2E4E0C"/>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372A1"/>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B50A57"/>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97B68"/>
    <w:rsid w:val="2EBC2287"/>
    <w:rsid w:val="2ECA3116"/>
    <w:rsid w:val="2EDD7896"/>
    <w:rsid w:val="2EEA6E65"/>
    <w:rsid w:val="2EF33C7C"/>
    <w:rsid w:val="2F00052B"/>
    <w:rsid w:val="2F0367CD"/>
    <w:rsid w:val="2F1251F2"/>
    <w:rsid w:val="2F2D445E"/>
    <w:rsid w:val="2F430EF4"/>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BC5717"/>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0F708F"/>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040A5"/>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A0A6C"/>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14A37"/>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F30D9"/>
    <w:rsid w:val="3AC17E3A"/>
    <w:rsid w:val="3ACB5746"/>
    <w:rsid w:val="3ACE209E"/>
    <w:rsid w:val="3ADD1594"/>
    <w:rsid w:val="3ADD2B05"/>
    <w:rsid w:val="3AE417E3"/>
    <w:rsid w:val="3AE440AF"/>
    <w:rsid w:val="3AF7667E"/>
    <w:rsid w:val="3AFC4F68"/>
    <w:rsid w:val="3B113F51"/>
    <w:rsid w:val="3B192990"/>
    <w:rsid w:val="3B2D3716"/>
    <w:rsid w:val="3B307112"/>
    <w:rsid w:val="3B3E5BDD"/>
    <w:rsid w:val="3B4475EB"/>
    <w:rsid w:val="3B5113BC"/>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BE48DA"/>
    <w:rsid w:val="40EC7D18"/>
    <w:rsid w:val="40ED11A0"/>
    <w:rsid w:val="40FD1BF0"/>
    <w:rsid w:val="40FE7A3D"/>
    <w:rsid w:val="41096BC0"/>
    <w:rsid w:val="410A75B6"/>
    <w:rsid w:val="410B452A"/>
    <w:rsid w:val="41146D26"/>
    <w:rsid w:val="413353F1"/>
    <w:rsid w:val="41513BC9"/>
    <w:rsid w:val="41735B7F"/>
    <w:rsid w:val="419E60D3"/>
    <w:rsid w:val="41A059E7"/>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97411D"/>
    <w:rsid w:val="42A03D98"/>
    <w:rsid w:val="42A729F1"/>
    <w:rsid w:val="42B46EA8"/>
    <w:rsid w:val="42B94BC1"/>
    <w:rsid w:val="42C30254"/>
    <w:rsid w:val="42C42A08"/>
    <w:rsid w:val="42C7649B"/>
    <w:rsid w:val="42D064B1"/>
    <w:rsid w:val="42D41F6D"/>
    <w:rsid w:val="42D5342A"/>
    <w:rsid w:val="42DE48A3"/>
    <w:rsid w:val="42E16058"/>
    <w:rsid w:val="42F17BF5"/>
    <w:rsid w:val="42F30D8B"/>
    <w:rsid w:val="42F87EC9"/>
    <w:rsid w:val="42FA45BF"/>
    <w:rsid w:val="42FD5099"/>
    <w:rsid w:val="430E7E66"/>
    <w:rsid w:val="432205F2"/>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33E21"/>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358D5"/>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B6EB4"/>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85BF6"/>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184951"/>
    <w:rsid w:val="4B250CF8"/>
    <w:rsid w:val="4B2873FD"/>
    <w:rsid w:val="4B326C76"/>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336B9"/>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24828"/>
    <w:rsid w:val="4EF463F8"/>
    <w:rsid w:val="4EFE7F59"/>
    <w:rsid w:val="4F285975"/>
    <w:rsid w:val="4F2A7BF3"/>
    <w:rsid w:val="4F2D70F1"/>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51417"/>
    <w:rsid w:val="527733A7"/>
    <w:rsid w:val="527901C6"/>
    <w:rsid w:val="528F4A24"/>
    <w:rsid w:val="52944BB6"/>
    <w:rsid w:val="529A08FC"/>
    <w:rsid w:val="52A24532"/>
    <w:rsid w:val="52B3363A"/>
    <w:rsid w:val="52C4763C"/>
    <w:rsid w:val="52C56A7E"/>
    <w:rsid w:val="52DE691D"/>
    <w:rsid w:val="52E04D27"/>
    <w:rsid w:val="52ED0C96"/>
    <w:rsid w:val="53061721"/>
    <w:rsid w:val="530C0E6B"/>
    <w:rsid w:val="53166FEF"/>
    <w:rsid w:val="532A24ED"/>
    <w:rsid w:val="532F77EA"/>
    <w:rsid w:val="53367575"/>
    <w:rsid w:val="533933AA"/>
    <w:rsid w:val="533B7F54"/>
    <w:rsid w:val="535009E1"/>
    <w:rsid w:val="53650168"/>
    <w:rsid w:val="536C2A29"/>
    <w:rsid w:val="537363A5"/>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ED7585"/>
    <w:rsid w:val="53FE7128"/>
    <w:rsid w:val="540F3D40"/>
    <w:rsid w:val="54201800"/>
    <w:rsid w:val="54247F22"/>
    <w:rsid w:val="542B4430"/>
    <w:rsid w:val="542C29CD"/>
    <w:rsid w:val="542F1551"/>
    <w:rsid w:val="54381756"/>
    <w:rsid w:val="545750B7"/>
    <w:rsid w:val="545A1EBF"/>
    <w:rsid w:val="54617F0B"/>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43D81"/>
    <w:rsid w:val="58C93046"/>
    <w:rsid w:val="58D36BCB"/>
    <w:rsid w:val="58E00BA4"/>
    <w:rsid w:val="58E6349C"/>
    <w:rsid w:val="58EF63EE"/>
    <w:rsid w:val="590317F0"/>
    <w:rsid w:val="59075000"/>
    <w:rsid w:val="591331B6"/>
    <w:rsid w:val="593559FD"/>
    <w:rsid w:val="594079B2"/>
    <w:rsid w:val="596A688E"/>
    <w:rsid w:val="5987482A"/>
    <w:rsid w:val="598C6F19"/>
    <w:rsid w:val="599C49A8"/>
    <w:rsid w:val="59A36725"/>
    <w:rsid w:val="59B21BF9"/>
    <w:rsid w:val="59BB4EA3"/>
    <w:rsid w:val="59CF729E"/>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7B2AC5"/>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2715F"/>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2D226C"/>
    <w:rsid w:val="5F3370DF"/>
    <w:rsid w:val="5F491124"/>
    <w:rsid w:val="5F551CA3"/>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95F55"/>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64FC"/>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102805"/>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7160C2"/>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6FF3F3F"/>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CF0441"/>
    <w:rsid w:val="69F0745A"/>
    <w:rsid w:val="6A0D20F2"/>
    <w:rsid w:val="6A1D59EC"/>
    <w:rsid w:val="6A247F72"/>
    <w:rsid w:val="6A397699"/>
    <w:rsid w:val="6A3E2393"/>
    <w:rsid w:val="6A435B92"/>
    <w:rsid w:val="6A444DB8"/>
    <w:rsid w:val="6A4D4828"/>
    <w:rsid w:val="6A516AC3"/>
    <w:rsid w:val="6A5303BA"/>
    <w:rsid w:val="6A654212"/>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47F45"/>
    <w:rsid w:val="6C3E2FAF"/>
    <w:rsid w:val="6C45610F"/>
    <w:rsid w:val="6C59472D"/>
    <w:rsid w:val="6C5A4564"/>
    <w:rsid w:val="6C603744"/>
    <w:rsid w:val="6C637CCF"/>
    <w:rsid w:val="6C7802EB"/>
    <w:rsid w:val="6C89456C"/>
    <w:rsid w:val="6C8F2EF7"/>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7E4213"/>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8507E8"/>
    <w:rsid w:val="6FA629D4"/>
    <w:rsid w:val="6FA75ADB"/>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DB69D2"/>
    <w:rsid w:val="70F36D0F"/>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0F1BF8"/>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596A35"/>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45365"/>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2F30CC"/>
    <w:rsid w:val="79395A92"/>
    <w:rsid w:val="794008FB"/>
    <w:rsid w:val="794708D9"/>
    <w:rsid w:val="794B21A1"/>
    <w:rsid w:val="795B125F"/>
    <w:rsid w:val="7964574A"/>
    <w:rsid w:val="79804706"/>
    <w:rsid w:val="79941CF2"/>
    <w:rsid w:val="79973382"/>
    <w:rsid w:val="79B4353E"/>
    <w:rsid w:val="79D33056"/>
    <w:rsid w:val="79D43D82"/>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112C4"/>
    <w:rsid w:val="7F6B2248"/>
    <w:rsid w:val="7F6D45C9"/>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paragraph" w:customStyle="1" w:styleId="7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2023-05-15T10:56:07Z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